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4A39A" w14:textId="77777777" w:rsidR="00DA0E45" w:rsidRDefault="00DA0E45" w:rsidP="00DA0E45">
      <w:pPr>
        <w:tabs>
          <w:tab w:val="left" w:pos="360"/>
        </w:tabs>
        <w:rPr>
          <w:b/>
          <w:sz w:val="24"/>
          <w:szCs w:val="24"/>
        </w:rPr>
      </w:pPr>
    </w:p>
    <w:p w14:paraId="33B5186C" w14:textId="77777777" w:rsidR="00DA0E45" w:rsidRDefault="00DA0E45" w:rsidP="00DA0E45">
      <w:pPr>
        <w:tabs>
          <w:tab w:val="left" w:pos="360"/>
        </w:tabs>
        <w:rPr>
          <w:b/>
          <w:sz w:val="24"/>
          <w:szCs w:val="24"/>
        </w:rPr>
      </w:pPr>
    </w:p>
    <w:p w14:paraId="4576BA08" w14:textId="77777777" w:rsidR="00DA0E45" w:rsidRDefault="00DA0E45" w:rsidP="00DA0E45"/>
    <w:p w14:paraId="76CB93BA" w14:textId="77777777" w:rsidR="00DA0E45" w:rsidRDefault="00DA0E45" w:rsidP="00DA0E45">
      <w:pPr>
        <w:pStyle w:val="Standardowytekst"/>
        <w:jc w:val="center"/>
        <w:rPr>
          <w:sz w:val="28"/>
        </w:rPr>
      </w:pPr>
      <w:r>
        <w:rPr>
          <w:sz w:val="28"/>
        </w:rPr>
        <w:t>Szczegółowe Specyfikacje Techniczne</w:t>
      </w:r>
    </w:p>
    <w:p w14:paraId="7AEF4A11" w14:textId="77777777" w:rsidR="00DA0E45" w:rsidRDefault="00DA0E45" w:rsidP="00DA0E45">
      <w:pPr>
        <w:pStyle w:val="Standardowytekst"/>
        <w:jc w:val="center"/>
        <w:rPr>
          <w:sz w:val="28"/>
        </w:rPr>
      </w:pPr>
    </w:p>
    <w:p w14:paraId="48F965FC" w14:textId="77777777" w:rsidR="00DA0E45" w:rsidRDefault="00DA0E45" w:rsidP="00DA0E45">
      <w:pPr>
        <w:pStyle w:val="Standardowytekst"/>
        <w:jc w:val="center"/>
        <w:rPr>
          <w:sz w:val="28"/>
        </w:rPr>
      </w:pPr>
    </w:p>
    <w:p w14:paraId="22CA5F79" w14:textId="77777777" w:rsidR="00DA0E45" w:rsidRDefault="00DA0E45" w:rsidP="00DA0E45">
      <w:pPr>
        <w:pStyle w:val="Standardowytekst"/>
        <w:jc w:val="center"/>
        <w:rPr>
          <w:sz w:val="28"/>
        </w:rPr>
      </w:pPr>
    </w:p>
    <w:p w14:paraId="48BD6026" w14:textId="77777777" w:rsidR="00DA0E45" w:rsidRDefault="00DA0E45" w:rsidP="00DA0E45">
      <w:pPr>
        <w:pStyle w:val="Standardowytekst"/>
        <w:jc w:val="center"/>
        <w:rPr>
          <w:sz w:val="28"/>
        </w:rPr>
      </w:pPr>
    </w:p>
    <w:p w14:paraId="241E7EAD" w14:textId="77777777" w:rsidR="00DA0E45" w:rsidRDefault="00DA0E45" w:rsidP="00DA0E45">
      <w:pPr>
        <w:pStyle w:val="Standardowytekst"/>
        <w:rPr>
          <w:b/>
          <w:sz w:val="28"/>
        </w:rPr>
      </w:pPr>
    </w:p>
    <w:p w14:paraId="40EE89C4" w14:textId="77777777" w:rsidR="00DA0E45" w:rsidRDefault="00DA0E45" w:rsidP="00DA0E45">
      <w:pPr>
        <w:pStyle w:val="Standardowytekst"/>
        <w:jc w:val="center"/>
        <w:rPr>
          <w:b/>
          <w:sz w:val="28"/>
        </w:rPr>
      </w:pPr>
    </w:p>
    <w:p w14:paraId="1A27F2A8" w14:textId="77777777" w:rsidR="00DA0E45" w:rsidRDefault="00DA0E45" w:rsidP="00DA0E45">
      <w:pPr>
        <w:pStyle w:val="Standardowytekst"/>
        <w:jc w:val="center"/>
        <w:rPr>
          <w:b/>
          <w:sz w:val="28"/>
        </w:rPr>
      </w:pPr>
      <w:r>
        <w:rPr>
          <w:b/>
          <w:sz w:val="28"/>
        </w:rPr>
        <w:t>D-04.01.01</w:t>
      </w:r>
    </w:p>
    <w:p w14:paraId="0994D154" w14:textId="77777777" w:rsidR="00DA0E45" w:rsidRDefault="00DA0E45" w:rsidP="00DA0E45">
      <w:pPr>
        <w:pStyle w:val="Standardowytekst"/>
        <w:jc w:val="center"/>
        <w:rPr>
          <w:b/>
          <w:sz w:val="28"/>
        </w:rPr>
      </w:pPr>
      <w:r>
        <w:rPr>
          <w:b/>
          <w:sz w:val="28"/>
        </w:rPr>
        <w:t> </w:t>
      </w:r>
    </w:p>
    <w:p w14:paraId="2D2F4322" w14:textId="77777777" w:rsidR="00DA0E45" w:rsidRDefault="00DA0E45" w:rsidP="00DA0E45">
      <w:pPr>
        <w:pStyle w:val="Standardowytekst"/>
        <w:jc w:val="center"/>
        <w:rPr>
          <w:b/>
          <w:sz w:val="28"/>
        </w:rPr>
      </w:pPr>
      <w:r>
        <w:rPr>
          <w:b/>
          <w:sz w:val="28"/>
        </w:rPr>
        <w:t>KORYTO  WRAZ  Z  PROFILOWANIEM</w:t>
      </w:r>
    </w:p>
    <w:p w14:paraId="092F2B00" w14:textId="77777777" w:rsidR="00DA0E45" w:rsidRDefault="00DA0E45" w:rsidP="00DA0E45">
      <w:pPr>
        <w:pStyle w:val="Standardowytekst"/>
        <w:jc w:val="center"/>
        <w:rPr>
          <w:b/>
          <w:sz w:val="28"/>
        </w:rPr>
      </w:pPr>
      <w:r>
        <w:rPr>
          <w:b/>
          <w:sz w:val="28"/>
        </w:rPr>
        <w:t>I  ZAGĘSZCZANIEM  PODŁOŻA</w:t>
      </w:r>
    </w:p>
    <w:p w14:paraId="71914297" w14:textId="77777777" w:rsidR="00DA0E45" w:rsidRDefault="00DA0E45" w:rsidP="00DA0E45">
      <w:pPr>
        <w:pStyle w:val="Standardowytekst"/>
        <w:jc w:val="center"/>
        <w:rPr>
          <w:b/>
          <w:sz w:val="28"/>
        </w:rPr>
      </w:pPr>
    </w:p>
    <w:p w14:paraId="6CB47F68" w14:textId="77777777" w:rsidR="00DA0E45" w:rsidRDefault="00DA0E45" w:rsidP="00DA0E45">
      <w:pPr>
        <w:pStyle w:val="Standardowytekst"/>
        <w:rPr>
          <w:b/>
          <w:sz w:val="28"/>
        </w:rPr>
      </w:pPr>
    </w:p>
    <w:p w14:paraId="6388AFFE" w14:textId="77777777" w:rsidR="00DA0E45" w:rsidRPr="00535CDB" w:rsidRDefault="00DA0E45" w:rsidP="00DA0E45">
      <w:pPr>
        <w:pStyle w:val="Nagwek1"/>
        <w:rPr>
          <w:color w:val="000080"/>
          <w:sz w:val="20"/>
        </w:rPr>
      </w:pPr>
      <w:r w:rsidRPr="00535CDB">
        <w:rPr>
          <w:color w:val="000080"/>
          <w:sz w:val="20"/>
        </w:rPr>
        <w:t xml:space="preserve">1. WSTĘP  </w:t>
      </w:r>
    </w:p>
    <w:p w14:paraId="0DD47CD1" w14:textId="77777777" w:rsidR="00DA0E45" w:rsidRPr="00535CDB" w:rsidRDefault="00DA0E45" w:rsidP="00DA0E45">
      <w:pPr>
        <w:pStyle w:val="Nagwek2"/>
        <w:rPr>
          <w:sz w:val="20"/>
        </w:rPr>
      </w:pPr>
      <w:r w:rsidRPr="00535CDB">
        <w:rPr>
          <w:sz w:val="20"/>
        </w:rPr>
        <w:t>1.1. Przedmiot SST</w:t>
      </w:r>
    </w:p>
    <w:p w14:paraId="2BC513BA" w14:textId="77777777" w:rsidR="00DA0E45" w:rsidRPr="00535CDB" w:rsidRDefault="00DA0E45" w:rsidP="00DA0E45">
      <w:pPr>
        <w:jc w:val="both"/>
      </w:pPr>
      <w:r w:rsidRPr="00535CDB">
        <w:tab/>
        <w:t>Przedmiotem niniejszej szczegółowej specyfikacji technicznej (SST) są wymagania dotyczące wykonania i odbioru robót związanych z wykonywaniem koryta wraz z profilowaniem i zagęszczaniem podłoża gruntowego.</w:t>
      </w:r>
    </w:p>
    <w:p w14:paraId="42928A15" w14:textId="77777777" w:rsidR="00DA0E45" w:rsidRPr="00535CDB" w:rsidRDefault="00DA0E45" w:rsidP="00DA0E45">
      <w:pPr>
        <w:pStyle w:val="Nagwek2"/>
        <w:rPr>
          <w:sz w:val="20"/>
        </w:rPr>
      </w:pPr>
      <w:r w:rsidRPr="00535CDB">
        <w:rPr>
          <w:sz w:val="20"/>
        </w:rPr>
        <w:t>1.2. Zakres stosowania SST</w:t>
      </w:r>
    </w:p>
    <w:p w14:paraId="0AC8145C" w14:textId="77777777" w:rsidR="00DA0E45" w:rsidRPr="00535CDB" w:rsidRDefault="00DA0E45" w:rsidP="00DA0E45">
      <w:r w:rsidRPr="00535CDB">
        <w:tab/>
        <w:t>Szczegółowa specyfikacja techniczna (SST) stosowana jest jako dokument przetargowy i kontraktowy przy zlecaniu i realizacji robót na drogach powiatowych</w:t>
      </w:r>
      <w:r w:rsidRPr="00535CDB">
        <w:br/>
      </w:r>
    </w:p>
    <w:p w14:paraId="38C1C0E6" w14:textId="77777777" w:rsidR="00DA0E45" w:rsidRPr="00535CDB" w:rsidRDefault="00DA0E45" w:rsidP="00DA0E45">
      <w:pPr>
        <w:jc w:val="both"/>
      </w:pPr>
      <w:r w:rsidRPr="00535CDB">
        <w:tab/>
      </w:r>
    </w:p>
    <w:p w14:paraId="7C120939" w14:textId="77777777" w:rsidR="00DA0E45" w:rsidRPr="00535CDB" w:rsidRDefault="00DA0E45" w:rsidP="00DA0E45">
      <w:pPr>
        <w:pStyle w:val="Nagwek2"/>
        <w:rPr>
          <w:sz w:val="20"/>
        </w:rPr>
      </w:pPr>
      <w:r w:rsidRPr="00535CDB">
        <w:rPr>
          <w:sz w:val="20"/>
        </w:rPr>
        <w:t>1.3. Zakres robót objętych SST</w:t>
      </w:r>
    </w:p>
    <w:p w14:paraId="5AF8CF75" w14:textId="77777777" w:rsidR="00DA0E45" w:rsidRPr="00535CDB" w:rsidRDefault="00DA0E45" w:rsidP="00DA0E45">
      <w:pPr>
        <w:jc w:val="both"/>
      </w:pPr>
      <w:r w:rsidRPr="00535CDB">
        <w:tab/>
        <w:t xml:space="preserve">Ustalenia zawarte w niniejszej specyfikacji dotyczą zasad prowadzenia robót związanych z wykonaniem koryta przeznaczonego do ułożenia konstrukcji nawierzchni. </w:t>
      </w:r>
    </w:p>
    <w:p w14:paraId="163BB02C" w14:textId="77777777" w:rsidR="00DA0E45" w:rsidRPr="00535CDB" w:rsidRDefault="00DA0E45" w:rsidP="00DA0E45">
      <w:pPr>
        <w:pStyle w:val="Nagwek2"/>
        <w:rPr>
          <w:sz w:val="20"/>
        </w:rPr>
      </w:pPr>
      <w:r w:rsidRPr="00535CDB">
        <w:rPr>
          <w:sz w:val="20"/>
        </w:rPr>
        <w:t>1.4. Określenia podstawowe</w:t>
      </w:r>
    </w:p>
    <w:p w14:paraId="0AE23458" w14:textId="77777777" w:rsidR="00DA0E45" w:rsidRPr="00535CDB" w:rsidRDefault="00DA0E45" w:rsidP="00DA0E45">
      <w:pPr>
        <w:jc w:val="both"/>
      </w:pPr>
      <w:r w:rsidRPr="00535CDB">
        <w:tab/>
        <w:t>Określenia podstawowe są zgodne z obowiązującymi, odpowiednimi polskimi normami i definicjami podanymi w SST D-M-00.00.00 „Wymagania ogólne” pkt 1.4.</w:t>
      </w:r>
    </w:p>
    <w:p w14:paraId="22FEDBD4" w14:textId="77777777" w:rsidR="00DA0E45" w:rsidRPr="00535CDB" w:rsidRDefault="00DA0E45" w:rsidP="00DA0E45">
      <w:pPr>
        <w:pStyle w:val="Nagwek2"/>
        <w:rPr>
          <w:sz w:val="20"/>
        </w:rPr>
      </w:pPr>
      <w:r w:rsidRPr="00535CDB">
        <w:rPr>
          <w:sz w:val="20"/>
        </w:rPr>
        <w:t>1.5. Ogólne wymagania dotyczące robót</w:t>
      </w:r>
    </w:p>
    <w:p w14:paraId="26440EE9" w14:textId="77777777" w:rsidR="00DA0E45" w:rsidRPr="00535CDB" w:rsidRDefault="00DA0E45" w:rsidP="00DA0E45">
      <w:pPr>
        <w:jc w:val="both"/>
      </w:pPr>
      <w:r w:rsidRPr="00535CDB">
        <w:tab/>
        <w:t>Ogólne wymagania dotyczące robót podano w SST D-M-00.00.00 „Wymagania ogólne” pkt 1.5.</w:t>
      </w:r>
    </w:p>
    <w:p w14:paraId="1BFCD1A5" w14:textId="77777777" w:rsidR="00DA0E45" w:rsidRPr="00535CDB" w:rsidRDefault="00DA0E45" w:rsidP="00DA0E45">
      <w:pPr>
        <w:jc w:val="both"/>
      </w:pPr>
    </w:p>
    <w:p w14:paraId="4D0367FB" w14:textId="77777777" w:rsidR="00DA0E45" w:rsidRPr="00535CDB" w:rsidRDefault="00DA0E45" w:rsidP="00DA0E45">
      <w:pPr>
        <w:jc w:val="both"/>
        <w:rPr>
          <w:b/>
        </w:rPr>
      </w:pPr>
      <w:r w:rsidRPr="00535CDB">
        <w:rPr>
          <w:b/>
        </w:rPr>
        <w:t>1.6. Kody i nazwy robót wg Wspólnego Słownika Zamówień ( CPV )</w:t>
      </w:r>
    </w:p>
    <w:p w14:paraId="16B8D523" w14:textId="77777777" w:rsidR="00DA0E45" w:rsidRPr="00535CDB" w:rsidRDefault="00DA0E45" w:rsidP="00DA0E45">
      <w:pPr>
        <w:jc w:val="both"/>
      </w:pPr>
    </w:p>
    <w:p w14:paraId="4BD56818" w14:textId="77777777" w:rsidR="00DA0E45" w:rsidRDefault="00DA0E45" w:rsidP="00DA0E45">
      <w:pPr>
        <w:jc w:val="both"/>
      </w:pPr>
      <w:r w:rsidRPr="00535CDB">
        <w:t>45233320-8 Fundamentowanie dróg</w:t>
      </w:r>
    </w:p>
    <w:p w14:paraId="55074C64" w14:textId="77777777" w:rsidR="00DA0E45" w:rsidRPr="00535CDB" w:rsidRDefault="00DA0E45" w:rsidP="00DA0E45">
      <w:pPr>
        <w:jc w:val="both"/>
      </w:pPr>
    </w:p>
    <w:p w14:paraId="140A72D8" w14:textId="77777777" w:rsidR="00DA0E45" w:rsidRPr="00535CDB" w:rsidRDefault="00DA0E45" w:rsidP="00DA0E45">
      <w:pPr>
        <w:pStyle w:val="Nagwek1"/>
        <w:rPr>
          <w:color w:val="000080"/>
          <w:sz w:val="24"/>
          <w:szCs w:val="24"/>
        </w:rPr>
      </w:pPr>
      <w:r>
        <w:rPr>
          <w:color w:val="000080"/>
          <w:sz w:val="24"/>
          <w:szCs w:val="24"/>
        </w:rPr>
        <w:t>2. M</w:t>
      </w:r>
      <w:r w:rsidRPr="00535CDB">
        <w:rPr>
          <w:color w:val="000080"/>
          <w:sz w:val="24"/>
          <w:szCs w:val="24"/>
        </w:rPr>
        <w:t>ateriały</w:t>
      </w:r>
    </w:p>
    <w:p w14:paraId="6FE48C20" w14:textId="77777777" w:rsidR="00DA0E45" w:rsidRDefault="00DA0E45" w:rsidP="00DA0E45">
      <w:pPr>
        <w:jc w:val="both"/>
      </w:pPr>
      <w:r w:rsidRPr="00535CDB">
        <w:tab/>
        <w:t>Nie występują.</w:t>
      </w:r>
    </w:p>
    <w:p w14:paraId="2DE0A8A7" w14:textId="77777777" w:rsidR="00DA0E45" w:rsidRPr="00535CDB" w:rsidRDefault="00DA0E45" w:rsidP="00DA0E45">
      <w:pPr>
        <w:jc w:val="both"/>
      </w:pPr>
    </w:p>
    <w:p w14:paraId="1EB2E06B" w14:textId="77777777" w:rsidR="00DA0E45" w:rsidRDefault="00DA0E45" w:rsidP="00DA0E45">
      <w:pPr>
        <w:pStyle w:val="Nagwek1"/>
        <w:rPr>
          <w:color w:val="000080"/>
          <w:sz w:val="24"/>
          <w:szCs w:val="24"/>
        </w:rPr>
      </w:pPr>
      <w:r>
        <w:rPr>
          <w:color w:val="000080"/>
          <w:sz w:val="24"/>
          <w:szCs w:val="24"/>
        </w:rPr>
        <w:t>3. S</w:t>
      </w:r>
      <w:r w:rsidRPr="00535CDB">
        <w:rPr>
          <w:color w:val="000080"/>
          <w:sz w:val="24"/>
          <w:szCs w:val="24"/>
        </w:rPr>
        <w:t>przęt</w:t>
      </w:r>
    </w:p>
    <w:p w14:paraId="4F5822DD" w14:textId="77777777" w:rsidR="00DA0E45" w:rsidRPr="00535CDB" w:rsidRDefault="00DA0E45" w:rsidP="00DA0E45"/>
    <w:p w14:paraId="033E68C2" w14:textId="77777777" w:rsidR="00DA0E45" w:rsidRPr="00535CDB" w:rsidRDefault="00DA0E45" w:rsidP="00DA0E45">
      <w:pPr>
        <w:pStyle w:val="Nagwek2"/>
        <w:rPr>
          <w:sz w:val="20"/>
        </w:rPr>
      </w:pPr>
      <w:r w:rsidRPr="00535CDB">
        <w:rPr>
          <w:sz w:val="20"/>
        </w:rPr>
        <w:lastRenderedPageBreak/>
        <w:t>3.1. Ogólne wymagania dotyczące sprzętu</w:t>
      </w:r>
    </w:p>
    <w:p w14:paraId="0C45803E" w14:textId="77777777" w:rsidR="00DA0E45" w:rsidRPr="00535CDB" w:rsidRDefault="00DA0E45" w:rsidP="00DA0E45">
      <w:pPr>
        <w:jc w:val="both"/>
      </w:pPr>
      <w:r w:rsidRPr="00535CDB">
        <w:tab/>
        <w:t>Ogólne wymagania dotyczące sprzętu podano w SST D-M-00.00.00 „Wymagania ogólne” pkt 3.</w:t>
      </w:r>
    </w:p>
    <w:p w14:paraId="615592FB" w14:textId="77777777" w:rsidR="00DA0E45" w:rsidRPr="00535CDB" w:rsidRDefault="00DA0E45" w:rsidP="00DA0E45">
      <w:pPr>
        <w:pStyle w:val="Nagwek2"/>
        <w:rPr>
          <w:sz w:val="20"/>
        </w:rPr>
      </w:pPr>
      <w:r w:rsidRPr="00535CDB">
        <w:rPr>
          <w:sz w:val="20"/>
        </w:rPr>
        <w:t>3.2. Sprzęt do wykonania robót</w:t>
      </w:r>
    </w:p>
    <w:p w14:paraId="2AF48A75" w14:textId="77777777" w:rsidR="00DA0E45" w:rsidRPr="00535CDB" w:rsidRDefault="00DA0E45" w:rsidP="00DA0E45">
      <w:pPr>
        <w:jc w:val="both"/>
      </w:pPr>
      <w:r w:rsidRPr="00535CDB">
        <w:tab/>
        <w:t>Wykonawca przystępujący do wykonania koryta i profilowania podłoża powinien wykazać się możliwością korzystania z następującego sprzętu:</w:t>
      </w:r>
    </w:p>
    <w:p w14:paraId="0270688C" w14:textId="77777777" w:rsidR="00DA0E45" w:rsidRPr="00535CDB" w:rsidRDefault="00DA0E45" w:rsidP="00DA0E45">
      <w:pPr>
        <w:jc w:val="both"/>
      </w:pPr>
      <w:r w:rsidRPr="00535CDB">
        <w:t>      równiarek lub spycharek uniwersalnych z ukośnie ustawianym lemieszem; Inżynier może dopuścić wykonanie koryta i profilowanie podłoża z zastosowaniem spycharki z lemieszem ustawionym prostopadle do kierunku pracy maszyny,</w:t>
      </w:r>
    </w:p>
    <w:p w14:paraId="2D67859F" w14:textId="77777777" w:rsidR="00DA0E45" w:rsidRPr="00535CDB" w:rsidRDefault="00DA0E45" w:rsidP="00DA0E45">
      <w:pPr>
        <w:jc w:val="both"/>
      </w:pPr>
      <w:r w:rsidRPr="00535CDB">
        <w:t>      koparek z czerpakami profilowymi (przy wykonywaniu wąskich koryt),</w:t>
      </w:r>
    </w:p>
    <w:p w14:paraId="777DF888" w14:textId="77777777" w:rsidR="00DA0E45" w:rsidRPr="00535CDB" w:rsidRDefault="00DA0E45" w:rsidP="00DA0E45">
      <w:pPr>
        <w:jc w:val="both"/>
      </w:pPr>
      <w:r w:rsidRPr="00535CDB">
        <w:t>      walców statycznych, wibracyjnych lub płyt wibracyjnych.</w:t>
      </w:r>
    </w:p>
    <w:p w14:paraId="36B46D19" w14:textId="77777777" w:rsidR="00DA0E45" w:rsidRDefault="00DA0E45" w:rsidP="00DA0E45">
      <w:pPr>
        <w:jc w:val="both"/>
      </w:pPr>
      <w:r w:rsidRPr="00535CDB">
        <w:tab/>
        <w:t>Stosowany sprzęt nie może spowodować niekorzystnego wpływu na właściwości gruntu podłoża.</w:t>
      </w:r>
    </w:p>
    <w:p w14:paraId="42CA1CF1" w14:textId="77777777" w:rsidR="00DA0E45" w:rsidRPr="00535CDB" w:rsidRDefault="00DA0E45" w:rsidP="00DA0E45">
      <w:pPr>
        <w:jc w:val="both"/>
      </w:pPr>
    </w:p>
    <w:p w14:paraId="5EC5209E" w14:textId="77777777" w:rsidR="00DA0E45" w:rsidRDefault="00DA0E45" w:rsidP="00DA0E45">
      <w:pPr>
        <w:pStyle w:val="Nagwek1"/>
        <w:rPr>
          <w:color w:val="000080"/>
          <w:sz w:val="24"/>
          <w:szCs w:val="24"/>
        </w:rPr>
      </w:pPr>
      <w:r>
        <w:rPr>
          <w:color w:val="000080"/>
          <w:sz w:val="24"/>
          <w:szCs w:val="24"/>
        </w:rPr>
        <w:t>4. T</w:t>
      </w:r>
      <w:r w:rsidRPr="00535CDB">
        <w:rPr>
          <w:color w:val="000080"/>
          <w:sz w:val="24"/>
          <w:szCs w:val="24"/>
        </w:rPr>
        <w:t>ransport</w:t>
      </w:r>
    </w:p>
    <w:p w14:paraId="4B8129C9" w14:textId="77777777" w:rsidR="00DA0E45" w:rsidRPr="00535CDB" w:rsidRDefault="00DA0E45" w:rsidP="00DA0E45"/>
    <w:p w14:paraId="352CDC70" w14:textId="77777777" w:rsidR="00DA0E45" w:rsidRPr="00535CDB" w:rsidRDefault="00DA0E45" w:rsidP="00DA0E45">
      <w:pPr>
        <w:pStyle w:val="Nagwek2"/>
        <w:rPr>
          <w:sz w:val="20"/>
        </w:rPr>
      </w:pPr>
      <w:r w:rsidRPr="00535CDB">
        <w:rPr>
          <w:sz w:val="20"/>
        </w:rPr>
        <w:t>4.1. Ogólne wymagania dotyczące transportu</w:t>
      </w:r>
    </w:p>
    <w:p w14:paraId="1511750E" w14:textId="77777777" w:rsidR="00DA0E45" w:rsidRPr="00535CDB" w:rsidRDefault="00DA0E45" w:rsidP="00DA0E45">
      <w:pPr>
        <w:jc w:val="both"/>
      </w:pPr>
      <w:r w:rsidRPr="00535CDB">
        <w:tab/>
        <w:t>Ogólne wymagania dotyczące transportu podano w SST D-M-00.00.00 „Wymagania ogólne” pkt 4.</w:t>
      </w:r>
    </w:p>
    <w:p w14:paraId="59C44EAF" w14:textId="77777777" w:rsidR="00DA0E45" w:rsidRPr="00535CDB" w:rsidRDefault="00DA0E45" w:rsidP="00DA0E45">
      <w:pPr>
        <w:pStyle w:val="Nagwek2"/>
        <w:rPr>
          <w:sz w:val="20"/>
        </w:rPr>
      </w:pPr>
      <w:r w:rsidRPr="00535CDB">
        <w:rPr>
          <w:sz w:val="20"/>
        </w:rPr>
        <w:t>4.2. Transport materiałów</w:t>
      </w:r>
    </w:p>
    <w:p w14:paraId="5B0B7D0B" w14:textId="77777777" w:rsidR="00DA0E45" w:rsidRDefault="00DA0E45" w:rsidP="00DA0E45">
      <w:pPr>
        <w:jc w:val="both"/>
      </w:pPr>
      <w:r w:rsidRPr="00535CDB">
        <w:tab/>
        <w:t>Wymagania dotyczące transportu materiałów podano w SST D-04.02.01, D-04.02.02, D-04.03.01 pkt 4.</w:t>
      </w:r>
    </w:p>
    <w:p w14:paraId="62C8F74B" w14:textId="77777777" w:rsidR="00DA0E45" w:rsidRPr="00535CDB" w:rsidRDefault="00DA0E45" w:rsidP="00DA0E45">
      <w:pPr>
        <w:jc w:val="both"/>
      </w:pPr>
    </w:p>
    <w:p w14:paraId="52C3F274" w14:textId="77777777" w:rsidR="00DA0E45" w:rsidRDefault="00DA0E45" w:rsidP="00DA0E45">
      <w:pPr>
        <w:pStyle w:val="Nagwek1"/>
        <w:rPr>
          <w:color w:val="000080"/>
          <w:sz w:val="24"/>
          <w:szCs w:val="24"/>
        </w:rPr>
      </w:pPr>
      <w:r>
        <w:rPr>
          <w:color w:val="000080"/>
          <w:sz w:val="24"/>
          <w:szCs w:val="24"/>
        </w:rPr>
        <w:t>5. W</w:t>
      </w:r>
      <w:r w:rsidRPr="00535CDB">
        <w:rPr>
          <w:color w:val="000080"/>
          <w:sz w:val="24"/>
          <w:szCs w:val="24"/>
        </w:rPr>
        <w:t>ykonanie robót</w:t>
      </w:r>
    </w:p>
    <w:p w14:paraId="42392FCC" w14:textId="77777777" w:rsidR="00DA0E45" w:rsidRPr="00535CDB" w:rsidRDefault="00DA0E45" w:rsidP="00DA0E45"/>
    <w:p w14:paraId="26EB6EEA" w14:textId="77777777" w:rsidR="00DA0E45" w:rsidRPr="00535CDB" w:rsidRDefault="00DA0E45" w:rsidP="00DA0E45">
      <w:pPr>
        <w:pStyle w:val="Nagwek2"/>
        <w:rPr>
          <w:sz w:val="20"/>
        </w:rPr>
      </w:pPr>
      <w:r w:rsidRPr="00535CDB">
        <w:rPr>
          <w:sz w:val="20"/>
        </w:rPr>
        <w:t>5.1. Ogólne zasady wykonania robót</w:t>
      </w:r>
    </w:p>
    <w:p w14:paraId="310ADDA0" w14:textId="77777777" w:rsidR="00DA0E45" w:rsidRPr="00535CDB" w:rsidRDefault="00DA0E45" w:rsidP="00DA0E45">
      <w:pPr>
        <w:jc w:val="both"/>
      </w:pPr>
      <w:r w:rsidRPr="00535CDB">
        <w:tab/>
        <w:t>Ogólne zasady wykonania robót podano w SST D-M-00.00.00 „Wymagania ogólne” pkt 5.</w:t>
      </w:r>
    </w:p>
    <w:p w14:paraId="08E51C12" w14:textId="77777777" w:rsidR="00DA0E45" w:rsidRPr="00535CDB" w:rsidRDefault="00DA0E45" w:rsidP="00DA0E45">
      <w:pPr>
        <w:pStyle w:val="Nagwek2"/>
        <w:rPr>
          <w:sz w:val="20"/>
        </w:rPr>
      </w:pPr>
      <w:r w:rsidRPr="00535CDB">
        <w:rPr>
          <w:sz w:val="20"/>
        </w:rPr>
        <w:t>5.2. Warunki przystąpienia do robót</w:t>
      </w:r>
    </w:p>
    <w:p w14:paraId="587282F4" w14:textId="77777777" w:rsidR="00DA0E45" w:rsidRPr="00535CDB" w:rsidRDefault="00DA0E45" w:rsidP="00DA0E45">
      <w:pPr>
        <w:jc w:val="both"/>
      </w:pPr>
      <w:r w:rsidRPr="00535CDB">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14:paraId="3C16AF1F" w14:textId="77777777" w:rsidR="00DA0E45" w:rsidRPr="00535CDB" w:rsidRDefault="00DA0E45" w:rsidP="00DA0E45">
      <w:pPr>
        <w:jc w:val="both"/>
      </w:pPr>
      <w:r w:rsidRPr="00535CDB">
        <w:tab/>
        <w:t>W wykonanym korycie oraz po wyprofilowanym i zagęszczonym podłożu nie może odbywać się ruch budowlany, niezwiązany bezpośrednio z wykonaniem pierwszej warstwy nawierzchni.</w:t>
      </w:r>
    </w:p>
    <w:p w14:paraId="4D4901FE" w14:textId="77777777" w:rsidR="00DA0E45" w:rsidRPr="00535CDB" w:rsidRDefault="00DA0E45" w:rsidP="00DA0E45">
      <w:pPr>
        <w:pStyle w:val="Nagwek2"/>
        <w:rPr>
          <w:sz w:val="20"/>
        </w:rPr>
      </w:pPr>
      <w:r w:rsidRPr="00535CDB">
        <w:rPr>
          <w:sz w:val="20"/>
        </w:rPr>
        <w:t>5.3. Wykonanie koryta</w:t>
      </w:r>
    </w:p>
    <w:p w14:paraId="04DE3CED" w14:textId="77777777" w:rsidR="00DA0E45" w:rsidRPr="00535CDB" w:rsidRDefault="00DA0E45" w:rsidP="00DA0E45">
      <w:pPr>
        <w:jc w:val="both"/>
      </w:pPr>
      <w:r w:rsidRPr="00535CDB">
        <w:tab/>
        <w:t>Paliki lub szpilki do prawidłowego ukształtowania koryta w planie i profilu powinny być wcześniej przygotowane.</w:t>
      </w:r>
    </w:p>
    <w:p w14:paraId="5CD406CB" w14:textId="77777777" w:rsidR="00DA0E45" w:rsidRPr="00535CDB" w:rsidRDefault="00DA0E45" w:rsidP="00DA0E45">
      <w:pPr>
        <w:jc w:val="both"/>
      </w:pPr>
      <w:r w:rsidRPr="00535CDB">
        <w:tab/>
        <w:t xml:space="preserve">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w:t>
      </w:r>
      <w:smartTag w:uri="urn:schemas-microsoft-com:office:smarttags" w:element="metricconverter">
        <w:smartTagPr>
          <w:attr w:name="ProductID" w:val="10 metr￳w"/>
        </w:smartTagPr>
        <w:r w:rsidRPr="00535CDB">
          <w:t>10 metrów</w:t>
        </w:r>
      </w:smartTag>
      <w:r w:rsidRPr="00535CDB">
        <w:t>.</w:t>
      </w:r>
    </w:p>
    <w:p w14:paraId="4D158A83" w14:textId="77777777" w:rsidR="00DA0E45" w:rsidRPr="00535CDB" w:rsidRDefault="00DA0E45" w:rsidP="00DA0E45">
      <w:pPr>
        <w:jc w:val="both"/>
      </w:pPr>
      <w:r w:rsidRPr="00535CDB">
        <w:tab/>
        <w:t xml:space="preserve">Rodzaj sprzętu, a w szczególności jego moc należy dostosować do rodzaju gruntu, w którym prowadzone są roboty i do trudności jego odspojenia. </w:t>
      </w:r>
    </w:p>
    <w:p w14:paraId="4E6FAB97" w14:textId="77777777" w:rsidR="00DA0E45" w:rsidRPr="00535CDB" w:rsidRDefault="00DA0E45" w:rsidP="00DA0E45">
      <w:pPr>
        <w:jc w:val="both"/>
      </w:pPr>
      <w:r w:rsidRPr="00535CDB">
        <w:tab/>
        <w:t>Koryto można wykonywać ręcznie, gdy jego szerokość nie pozwala na zastosowanie maszyn, na przykład na poszerzeniach lub w przypadku robót o małym zakresie. Sposób wykonania musi być zaakceptowany przez Inżyniera.</w:t>
      </w:r>
    </w:p>
    <w:p w14:paraId="2D169E31" w14:textId="77777777" w:rsidR="00DA0E45" w:rsidRPr="00535CDB" w:rsidRDefault="00DA0E45" w:rsidP="00DA0E45">
      <w:pPr>
        <w:jc w:val="both"/>
      </w:pPr>
      <w:r w:rsidRPr="00535CDB">
        <w:tab/>
        <w:t>Grunt odspojony w czasie wykonywania koryta powinien być wykorzystany zgodnie z ustaleniami dokumentacji projektowej i SST, tj. wbudowany w nasyp lub odwieziony na odkład w miejsce wskazane przez Inżyniera.</w:t>
      </w:r>
    </w:p>
    <w:p w14:paraId="57BF8B93" w14:textId="77777777" w:rsidR="00DA0E45" w:rsidRPr="00535CDB" w:rsidRDefault="00DA0E45" w:rsidP="00DA0E45">
      <w:pPr>
        <w:jc w:val="both"/>
      </w:pPr>
      <w:r w:rsidRPr="00535CDB">
        <w:tab/>
        <w:t>Profilowanie i zagęszczenie podłoża należy wykonać zgodnie z zasadami określonymi w pkt 5.4.</w:t>
      </w:r>
    </w:p>
    <w:p w14:paraId="6A5A7512" w14:textId="77777777" w:rsidR="00DA0E45" w:rsidRPr="00535CDB" w:rsidRDefault="00DA0E45" w:rsidP="00DA0E45">
      <w:pPr>
        <w:pStyle w:val="Nagwek2"/>
        <w:rPr>
          <w:sz w:val="20"/>
        </w:rPr>
      </w:pPr>
      <w:r w:rsidRPr="00535CDB">
        <w:rPr>
          <w:sz w:val="20"/>
        </w:rPr>
        <w:t>5.4. Profilowanie i zagęszczanie podłoża</w:t>
      </w:r>
    </w:p>
    <w:p w14:paraId="2B4A183F" w14:textId="77777777" w:rsidR="00DA0E45" w:rsidRPr="00535CDB" w:rsidRDefault="00DA0E45" w:rsidP="00DA0E45">
      <w:pPr>
        <w:jc w:val="both"/>
      </w:pPr>
      <w:r w:rsidRPr="00535CDB">
        <w:tab/>
        <w:t>Przed przystąpieniem do profilowania podłoże powinno być oczyszczone ze wszelkich zanieczyszczeń.</w:t>
      </w:r>
    </w:p>
    <w:p w14:paraId="5490E128" w14:textId="77777777" w:rsidR="00DA0E45" w:rsidRPr="00535CDB" w:rsidRDefault="00DA0E45" w:rsidP="00DA0E45">
      <w:pPr>
        <w:jc w:val="both"/>
      </w:pPr>
      <w:r w:rsidRPr="00535CDB">
        <w:tab/>
        <w:t xml:space="preserve">Po oczyszczeniu powierzchni podłoża należy sprawdzić, czy istniejące rzędne terenu umożliwiają uzyskanie po profilowaniu zaprojektowanych rzędnych podłoża. Zaleca się, aby rzędne terenu przed profilowaniem były o co najmniej </w:t>
      </w:r>
      <w:smartTag w:uri="urn:schemas-microsoft-com:office:smarttags" w:element="metricconverter">
        <w:smartTagPr>
          <w:attr w:name="ProductID" w:val="5 cm"/>
        </w:smartTagPr>
        <w:r w:rsidRPr="00535CDB">
          <w:t>5 cm</w:t>
        </w:r>
      </w:smartTag>
      <w:r w:rsidRPr="00535CDB">
        <w:t xml:space="preserve"> wyższe niż projektowane rzędne podłoża.</w:t>
      </w:r>
    </w:p>
    <w:p w14:paraId="551AA52E" w14:textId="77777777" w:rsidR="00DA0E45" w:rsidRPr="00535CDB" w:rsidRDefault="00DA0E45" w:rsidP="00DA0E45">
      <w:pPr>
        <w:jc w:val="both"/>
      </w:pPr>
      <w:r w:rsidRPr="00535CDB">
        <w:lastRenderedPageBreak/>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14:paraId="7A3FB3E4" w14:textId="77777777" w:rsidR="00DA0E45" w:rsidRPr="00535CDB" w:rsidRDefault="00DA0E45" w:rsidP="00DA0E45">
      <w:pPr>
        <w:pStyle w:val="tekstost"/>
        <w:overflowPunct/>
        <w:adjustRightInd/>
      </w:pPr>
      <w:r w:rsidRPr="00535CDB">
        <w:tab/>
        <w:t>Do profilowania podłoża należy stosować równiarki. Ścięty grunt powinien być wykorzystany w robotach ziemnych lub w inny sposób zaakceptowany przez Inżyniera.</w:t>
      </w:r>
    </w:p>
    <w:p w14:paraId="78E53E64" w14:textId="77777777" w:rsidR="00DA0E45" w:rsidRPr="00535CDB" w:rsidRDefault="00DA0E45" w:rsidP="00DA0E45">
      <w:pPr>
        <w:jc w:val="both"/>
      </w:pPr>
      <w:r w:rsidRPr="00535CDB">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14:paraId="0D97793E" w14:textId="77777777" w:rsidR="00DA0E45" w:rsidRPr="00535CDB" w:rsidRDefault="00DA0E45" w:rsidP="00DA0E45">
      <w:pPr>
        <w:spacing w:before="120" w:after="120"/>
        <w:rPr>
          <w:i/>
        </w:rPr>
      </w:pPr>
      <w:r w:rsidRPr="00535CDB">
        <w:rPr>
          <w:i/>
        </w:rPr>
        <w:t>Tablica 1. Minimalne wartości wskaźnika zagęszczenia podłoża (</w:t>
      </w:r>
      <w:proofErr w:type="spellStart"/>
      <w:r w:rsidRPr="00535CDB">
        <w:rPr>
          <w:i/>
        </w:rPr>
        <w:t>I</w:t>
      </w:r>
      <w:r w:rsidRPr="00535CDB">
        <w:rPr>
          <w:i/>
          <w:vertAlign w:val="subscript"/>
        </w:rPr>
        <w:t>s</w:t>
      </w:r>
      <w:proofErr w:type="spellEnd"/>
      <w:r w:rsidRPr="00535CDB">
        <w:rPr>
          <w:i/>
        </w:rPr>
        <w:t>)</w:t>
      </w:r>
    </w:p>
    <w:tbl>
      <w:tblPr>
        <w:tblW w:w="0" w:type="auto"/>
        <w:tblInd w:w="1069" w:type="dxa"/>
        <w:tblLayout w:type="fixed"/>
        <w:tblCellMar>
          <w:left w:w="70" w:type="dxa"/>
          <w:right w:w="70" w:type="dxa"/>
        </w:tblCellMar>
        <w:tblLook w:val="0000" w:firstRow="0" w:lastRow="0" w:firstColumn="0" w:lastColumn="0" w:noHBand="0" w:noVBand="0"/>
      </w:tblPr>
      <w:tblGrid>
        <w:gridCol w:w="2905"/>
        <w:gridCol w:w="1560"/>
        <w:gridCol w:w="1521"/>
        <w:gridCol w:w="1524"/>
      </w:tblGrid>
      <w:tr w:rsidR="00DA0E45" w:rsidRPr="00535CDB" w14:paraId="43849901" w14:textId="77777777" w:rsidTr="00342BA4">
        <w:tblPrEx>
          <w:tblCellMar>
            <w:top w:w="0" w:type="dxa"/>
            <w:bottom w:w="0" w:type="dxa"/>
          </w:tblCellMar>
        </w:tblPrEx>
        <w:tc>
          <w:tcPr>
            <w:tcW w:w="2905" w:type="dxa"/>
            <w:tcBorders>
              <w:top w:val="single" w:sz="6" w:space="0" w:color="auto"/>
              <w:left w:val="single" w:sz="6" w:space="0" w:color="auto"/>
              <w:bottom w:val="nil"/>
              <w:right w:val="nil"/>
            </w:tcBorders>
          </w:tcPr>
          <w:p w14:paraId="0712FD31" w14:textId="77777777" w:rsidR="00DA0E45" w:rsidRPr="00535CDB" w:rsidRDefault="00DA0E45" w:rsidP="00342BA4">
            <w:pPr>
              <w:jc w:val="center"/>
            </w:pPr>
            <w:r w:rsidRPr="00535CDB">
              <w:t> </w:t>
            </w:r>
          </w:p>
        </w:tc>
        <w:tc>
          <w:tcPr>
            <w:tcW w:w="4605" w:type="dxa"/>
            <w:gridSpan w:val="3"/>
            <w:tcBorders>
              <w:top w:val="single" w:sz="6" w:space="0" w:color="auto"/>
              <w:left w:val="single" w:sz="6" w:space="0" w:color="auto"/>
              <w:bottom w:val="single" w:sz="6" w:space="0" w:color="auto"/>
              <w:right w:val="single" w:sz="6" w:space="0" w:color="auto"/>
            </w:tcBorders>
          </w:tcPr>
          <w:p w14:paraId="7E880714" w14:textId="77777777" w:rsidR="00DA0E45" w:rsidRPr="00535CDB" w:rsidRDefault="00DA0E45" w:rsidP="00342BA4">
            <w:pPr>
              <w:jc w:val="center"/>
            </w:pPr>
            <w:r w:rsidRPr="00535CDB">
              <w:t xml:space="preserve">Minimalna wartość </w:t>
            </w:r>
            <w:proofErr w:type="spellStart"/>
            <w:r w:rsidRPr="00535CDB">
              <w:t>I</w:t>
            </w:r>
            <w:r w:rsidRPr="00535CDB">
              <w:rPr>
                <w:vertAlign w:val="subscript"/>
              </w:rPr>
              <w:t>s</w:t>
            </w:r>
            <w:proofErr w:type="spellEnd"/>
            <w:r w:rsidRPr="00535CDB">
              <w:t xml:space="preserve"> dla:</w:t>
            </w:r>
          </w:p>
        </w:tc>
      </w:tr>
      <w:tr w:rsidR="00DA0E45" w:rsidRPr="00535CDB" w14:paraId="676F2887" w14:textId="77777777" w:rsidTr="00342BA4">
        <w:tblPrEx>
          <w:tblCellMar>
            <w:top w:w="0" w:type="dxa"/>
            <w:bottom w:w="0" w:type="dxa"/>
          </w:tblCellMar>
        </w:tblPrEx>
        <w:tc>
          <w:tcPr>
            <w:tcW w:w="2905" w:type="dxa"/>
            <w:tcBorders>
              <w:top w:val="nil"/>
              <w:left w:val="single" w:sz="6" w:space="0" w:color="auto"/>
              <w:bottom w:val="nil"/>
              <w:right w:val="nil"/>
            </w:tcBorders>
          </w:tcPr>
          <w:p w14:paraId="50EE9640" w14:textId="77777777" w:rsidR="00DA0E45" w:rsidRPr="00535CDB" w:rsidRDefault="00DA0E45" w:rsidP="00342BA4">
            <w:pPr>
              <w:jc w:val="center"/>
            </w:pPr>
            <w:r w:rsidRPr="00535CDB">
              <w:t>Strefa</w:t>
            </w:r>
          </w:p>
        </w:tc>
        <w:tc>
          <w:tcPr>
            <w:tcW w:w="1560" w:type="dxa"/>
            <w:tcBorders>
              <w:top w:val="nil"/>
              <w:left w:val="single" w:sz="6" w:space="0" w:color="auto"/>
              <w:bottom w:val="nil"/>
              <w:right w:val="nil"/>
            </w:tcBorders>
          </w:tcPr>
          <w:p w14:paraId="6C06FBC0" w14:textId="77777777" w:rsidR="00DA0E45" w:rsidRPr="00535CDB" w:rsidRDefault="00DA0E45" w:rsidP="00342BA4">
            <w:pPr>
              <w:jc w:val="center"/>
            </w:pPr>
            <w:r w:rsidRPr="00535CDB">
              <w:t>Autostrad i dróg</w:t>
            </w:r>
          </w:p>
        </w:tc>
        <w:tc>
          <w:tcPr>
            <w:tcW w:w="3045" w:type="dxa"/>
            <w:gridSpan w:val="2"/>
            <w:tcBorders>
              <w:top w:val="single" w:sz="6" w:space="0" w:color="auto"/>
              <w:left w:val="single" w:sz="6" w:space="0" w:color="auto"/>
              <w:bottom w:val="single" w:sz="6" w:space="0" w:color="auto"/>
              <w:right w:val="single" w:sz="6" w:space="0" w:color="auto"/>
            </w:tcBorders>
          </w:tcPr>
          <w:p w14:paraId="62F4E12B" w14:textId="77777777" w:rsidR="00DA0E45" w:rsidRPr="00535CDB" w:rsidRDefault="00DA0E45" w:rsidP="00342BA4">
            <w:pPr>
              <w:jc w:val="center"/>
            </w:pPr>
            <w:r w:rsidRPr="00535CDB">
              <w:t>Innych dróg</w:t>
            </w:r>
          </w:p>
        </w:tc>
      </w:tr>
      <w:tr w:rsidR="00DA0E45" w:rsidRPr="00535CDB" w14:paraId="5815E26D" w14:textId="77777777" w:rsidTr="00342BA4">
        <w:tblPrEx>
          <w:tblCellMar>
            <w:top w:w="0" w:type="dxa"/>
            <w:bottom w:w="0" w:type="dxa"/>
          </w:tblCellMar>
        </w:tblPrEx>
        <w:tc>
          <w:tcPr>
            <w:tcW w:w="2905" w:type="dxa"/>
            <w:tcBorders>
              <w:top w:val="nil"/>
              <w:left w:val="single" w:sz="6" w:space="0" w:color="auto"/>
              <w:bottom w:val="double" w:sz="6" w:space="0" w:color="auto"/>
              <w:right w:val="nil"/>
            </w:tcBorders>
          </w:tcPr>
          <w:p w14:paraId="2E72B130" w14:textId="77777777" w:rsidR="00DA0E45" w:rsidRPr="00535CDB" w:rsidRDefault="00DA0E45" w:rsidP="00342BA4">
            <w:pPr>
              <w:jc w:val="center"/>
            </w:pPr>
            <w:r w:rsidRPr="00535CDB">
              <w:t>korpusu</w:t>
            </w:r>
          </w:p>
        </w:tc>
        <w:tc>
          <w:tcPr>
            <w:tcW w:w="1560" w:type="dxa"/>
            <w:tcBorders>
              <w:top w:val="nil"/>
              <w:left w:val="single" w:sz="6" w:space="0" w:color="auto"/>
              <w:bottom w:val="double" w:sz="6" w:space="0" w:color="auto"/>
              <w:right w:val="nil"/>
            </w:tcBorders>
          </w:tcPr>
          <w:p w14:paraId="010458BB" w14:textId="77777777" w:rsidR="00DA0E45" w:rsidRPr="00535CDB" w:rsidRDefault="00DA0E45" w:rsidP="00342BA4">
            <w:pPr>
              <w:jc w:val="center"/>
            </w:pPr>
            <w:r w:rsidRPr="00535CDB">
              <w:t>ekspresowych</w:t>
            </w:r>
          </w:p>
        </w:tc>
        <w:tc>
          <w:tcPr>
            <w:tcW w:w="1521" w:type="dxa"/>
            <w:tcBorders>
              <w:top w:val="single" w:sz="6" w:space="0" w:color="auto"/>
              <w:left w:val="single" w:sz="6" w:space="0" w:color="auto"/>
              <w:bottom w:val="double" w:sz="6" w:space="0" w:color="auto"/>
              <w:right w:val="single" w:sz="6" w:space="0" w:color="auto"/>
            </w:tcBorders>
          </w:tcPr>
          <w:p w14:paraId="1ECCACB1" w14:textId="77777777" w:rsidR="00DA0E45" w:rsidRPr="00535CDB" w:rsidRDefault="00DA0E45" w:rsidP="00342BA4">
            <w:pPr>
              <w:ind w:left="213" w:right="317"/>
              <w:jc w:val="center"/>
            </w:pPr>
            <w:r w:rsidRPr="00535CDB">
              <w:t>Ruch ciężki</w:t>
            </w:r>
          </w:p>
          <w:p w14:paraId="2D09C2F7" w14:textId="77777777" w:rsidR="00DA0E45" w:rsidRPr="00535CDB" w:rsidRDefault="00DA0E45" w:rsidP="00342BA4">
            <w:pPr>
              <w:ind w:left="71" w:right="34"/>
              <w:jc w:val="center"/>
            </w:pPr>
            <w:r w:rsidRPr="00535CDB">
              <w:t>i bardzo ciężki</w:t>
            </w:r>
          </w:p>
        </w:tc>
        <w:tc>
          <w:tcPr>
            <w:tcW w:w="1524" w:type="dxa"/>
            <w:tcBorders>
              <w:top w:val="single" w:sz="6" w:space="0" w:color="auto"/>
              <w:left w:val="single" w:sz="6" w:space="0" w:color="auto"/>
              <w:bottom w:val="double" w:sz="6" w:space="0" w:color="auto"/>
              <w:right w:val="single" w:sz="6" w:space="0" w:color="auto"/>
            </w:tcBorders>
          </w:tcPr>
          <w:p w14:paraId="6A8959B4" w14:textId="77777777" w:rsidR="00DA0E45" w:rsidRPr="00535CDB" w:rsidRDefault="00DA0E45" w:rsidP="00342BA4">
            <w:pPr>
              <w:jc w:val="center"/>
            </w:pPr>
            <w:r w:rsidRPr="00535CDB">
              <w:t>Ruch mniejszy</w:t>
            </w:r>
          </w:p>
          <w:p w14:paraId="32433A07" w14:textId="77777777" w:rsidR="00DA0E45" w:rsidRPr="00535CDB" w:rsidRDefault="00DA0E45" w:rsidP="00342BA4">
            <w:pPr>
              <w:jc w:val="center"/>
            </w:pPr>
            <w:r w:rsidRPr="00535CDB">
              <w:t>od ciężkiego</w:t>
            </w:r>
          </w:p>
        </w:tc>
      </w:tr>
      <w:tr w:rsidR="00DA0E45" w:rsidRPr="00535CDB" w14:paraId="63AC4C24" w14:textId="77777777" w:rsidTr="00342BA4">
        <w:tblPrEx>
          <w:tblCellMar>
            <w:top w:w="0" w:type="dxa"/>
            <w:bottom w:w="0" w:type="dxa"/>
          </w:tblCellMar>
        </w:tblPrEx>
        <w:tc>
          <w:tcPr>
            <w:tcW w:w="2905" w:type="dxa"/>
            <w:tcBorders>
              <w:top w:val="nil"/>
              <w:left w:val="single" w:sz="6" w:space="0" w:color="auto"/>
              <w:bottom w:val="single" w:sz="6" w:space="0" w:color="auto"/>
              <w:right w:val="single" w:sz="6" w:space="0" w:color="auto"/>
            </w:tcBorders>
          </w:tcPr>
          <w:p w14:paraId="5A9C5F2A" w14:textId="77777777" w:rsidR="00DA0E45" w:rsidRPr="00535CDB" w:rsidRDefault="00DA0E45" w:rsidP="00342BA4">
            <w:pPr>
              <w:spacing w:before="60"/>
            </w:pPr>
            <w:r w:rsidRPr="00535CDB">
              <w:t xml:space="preserve">Górna warstwa o grubości </w:t>
            </w:r>
            <w:smartTag w:uri="urn:schemas-microsoft-com:office:smarttags" w:element="metricconverter">
              <w:smartTagPr>
                <w:attr w:name="ProductID" w:val="20 cm"/>
              </w:smartTagPr>
              <w:r w:rsidRPr="00535CDB">
                <w:t>20 cm</w:t>
              </w:r>
            </w:smartTag>
          </w:p>
        </w:tc>
        <w:tc>
          <w:tcPr>
            <w:tcW w:w="1560" w:type="dxa"/>
            <w:tcBorders>
              <w:top w:val="nil"/>
              <w:left w:val="single" w:sz="6" w:space="0" w:color="auto"/>
              <w:bottom w:val="single" w:sz="6" w:space="0" w:color="auto"/>
              <w:right w:val="single" w:sz="6" w:space="0" w:color="auto"/>
            </w:tcBorders>
          </w:tcPr>
          <w:p w14:paraId="3BFBB9DB" w14:textId="77777777" w:rsidR="00DA0E45" w:rsidRPr="00535CDB" w:rsidRDefault="00DA0E45" w:rsidP="00342BA4">
            <w:pPr>
              <w:spacing w:before="60"/>
              <w:jc w:val="center"/>
            </w:pPr>
            <w:r w:rsidRPr="00535CDB">
              <w:t>1,03</w:t>
            </w:r>
          </w:p>
        </w:tc>
        <w:tc>
          <w:tcPr>
            <w:tcW w:w="1521" w:type="dxa"/>
            <w:tcBorders>
              <w:top w:val="nil"/>
              <w:left w:val="single" w:sz="6" w:space="0" w:color="auto"/>
              <w:bottom w:val="single" w:sz="6" w:space="0" w:color="auto"/>
              <w:right w:val="single" w:sz="6" w:space="0" w:color="auto"/>
            </w:tcBorders>
          </w:tcPr>
          <w:p w14:paraId="4315DA1B" w14:textId="77777777" w:rsidR="00DA0E45" w:rsidRPr="00535CDB" w:rsidRDefault="00DA0E45" w:rsidP="00342BA4">
            <w:pPr>
              <w:spacing w:before="60"/>
              <w:jc w:val="center"/>
            </w:pPr>
            <w:r w:rsidRPr="00535CDB">
              <w:t>1,00</w:t>
            </w:r>
          </w:p>
        </w:tc>
        <w:tc>
          <w:tcPr>
            <w:tcW w:w="1524" w:type="dxa"/>
            <w:tcBorders>
              <w:top w:val="nil"/>
              <w:left w:val="single" w:sz="6" w:space="0" w:color="auto"/>
              <w:bottom w:val="single" w:sz="6" w:space="0" w:color="auto"/>
              <w:right w:val="single" w:sz="6" w:space="0" w:color="auto"/>
            </w:tcBorders>
          </w:tcPr>
          <w:p w14:paraId="385D0597" w14:textId="77777777" w:rsidR="00DA0E45" w:rsidRPr="00535CDB" w:rsidRDefault="00DA0E45" w:rsidP="00342BA4">
            <w:pPr>
              <w:spacing w:before="60"/>
              <w:jc w:val="center"/>
            </w:pPr>
            <w:r w:rsidRPr="00535CDB">
              <w:t>1,00</w:t>
            </w:r>
          </w:p>
        </w:tc>
      </w:tr>
      <w:tr w:rsidR="00DA0E45" w:rsidRPr="00535CDB" w14:paraId="6E54093B" w14:textId="77777777" w:rsidTr="00342BA4">
        <w:tblPrEx>
          <w:tblCellMar>
            <w:top w:w="0" w:type="dxa"/>
            <w:bottom w:w="0" w:type="dxa"/>
          </w:tblCellMar>
        </w:tblPrEx>
        <w:tc>
          <w:tcPr>
            <w:tcW w:w="2905" w:type="dxa"/>
            <w:tcBorders>
              <w:top w:val="single" w:sz="6" w:space="0" w:color="auto"/>
              <w:left w:val="single" w:sz="6" w:space="0" w:color="auto"/>
              <w:bottom w:val="single" w:sz="6" w:space="0" w:color="auto"/>
              <w:right w:val="single" w:sz="6" w:space="0" w:color="auto"/>
            </w:tcBorders>
          </w:tcPr>
          <w:p w14:paraId="63F1FC8F" w14:textId="77777777" w:rsidR="00DA0E45" w:rsidRPr="00535CDB" w:rsidRDefault="00DA0E45" w:rsidP="00342BA4">
            <w:r w:rsidRPr="00535CDB">
              <w:t xml:space="preserve">Na głębokości od 20 do </w:t>
            </w:r>
            <w:smartTag w:uri="urn:schemas-microsoft-com:office:smarttags" w:element="metricconverter">
              <w:smartTagPr>
                <w:attr w:name="ProductID" w:val="50 cm"/>
              </w:smartTagPr>
              <w:r w:rsidRPr="00535CDB">
                <w:t>50 cm</w:t>
              </w:r>
            </w:smartTag>
            <w:r w:rsidRPr="00535CDB">
              <w:t xml:space="preserve"> od powierzchni podłoża</w:t>
            </w:r>
          </w:p>
        </w:tc>
        <w:tc>
          <w:tcPr>
            <w:tcW w:w="1560" w:type="dxa"/>
            <w:tcBorders>
              <w:top w:val="single" w:sz="6" w:space="0" w:color="auto"/>
              <w:left w:val="single" w:sz="6" w:space="0" w:color="auto"/>
              <w:bottom w:val="single" w:sz="6" w:space="0" w:color="auto"/>
              <w:right w:val="single" w:sz="6" w:space="0" w:color="auto"/>
            </w:tcBorders>
          </w:tcPr>
          <w:p w14:paraId="5572E0FA" w14:textId="77777777" w:rsidR="00DA0E45" w:rsidRPr="00535CDB" w:rsidRDefault="00DA0E45" w:rsidP="00342BA4">
            <w:pPr>
              <w:jc w:val="center"/>
            </w:pPr>
            <w:r w:rsidRPr="00535CDB">
              <w:t> </w:t>
            </w:r>
          </w:p>
          <w:p w14:paraId="332DA74B" w14:textId="77777777" w:rsidR="00DA0E45" w:rsidRPr="00535CDB" w:rsidRDefault="00DA0E45" w:rsidP="00342BA4">
            <w:pPr>
              <w:jc w:val="center"/>
            </w:pPr>
            <w:r w:rsidRPr="00535CDB">
              <w:t>1,00</w:t>
            </w:r>
          </w:p>
        </w:tc>
        <w:tc>
          <w:tcPr>
            <w:tcW w:w="1521" w:type="dxa"/>
            <w:tcBorders>
              <w:top w:val="single" w:sz="6" w:space="0" w:color="auto"/>
              <w:left w:val="single" w:sz="6" w:space="0" w:color="auto"/>
              <w:bottom w:val="single" w:sz="6" w:space="0" w:color="auto"/>
              <w:right w:val="single" w:sz="6" w:space="0" w:color="auto"/>
            </w:tcBorders>
          </w:tcPr>
          <w:p w14:paraId="7977C53B" w14:textId="77777777" w:rsidR="00DA0E45" w:rsidRPr="00535CDB" w:rsidRDefault="00DA0E45" w:rsidP="00342BA4">
            <w:pPr>
              <w:jc w:val="center"/>
            </w:pPr>
            <w:r w:rsidRPr="00535CDB">
              <w:t> </w:t>
            </w:r>
          </w:p>
          <w:p w14:paraId="02D6523D" w14:textId="77777777" w:rsidR="00DA0E45" w:rsidRPr="00535CDB" w:rsidRDefault="00DA0E45" w:rsidP="00342BA4">
            <w:pPr>
              <w:jc w:val="center"/>
            </w:pPr>
            <w:r w:rsidRPr="00535CDB">
              <w:t>1,00</w:t>
            </w:r>
          </w:p>
        </w:tc>
        <w:tc>
          <w:tcPr>
            <w:tcW w:w="1524" w:type="dxa"/>
            <w:tcBorders>
              <w:top w:val="single" w:sz="6" w:space="0" w:color="auto"/>
              <w:left w:val="single" w:sz="6" w:space="0" w:color="auto"/>
              <w:bottom w:val="single" w:sz="6" w:space="0" w:color="auto"/>
              <w:right w:val="single" w:sz="6" w:space="0" w:color="auto"/>
            </w:tcBorders>
          </w:tcPr>
          <w:p w14:paraId="731D8D8D" w14:textId="77777777" w:rsidR="00DA0E45" w:rsidRPr="00535CDB" w:rsidRDefault="00DA0E45" w:rsidP="00342BA4">
            <w:pPr>
              <w:jc w:val="center"/>
            </w:pPr>
            <w:r w:rsidRPr="00535CDB">
              <w:t> </w:t>
            </w:r>
          </w:p>
          <w:p w14:paraId="4FCC5E8C" w14:textId="77777777" w:rsidR="00DA0E45" w:rsidRPr="00535CDB" w:rsidRDefault="00DA0E45" w:rsidP="00342BA4">
            <w:pPr>
              <w:jc w:val="center"/>
            </w:pPr>
            <w:r w:rsidRPr="00535CDB">
              <w:t>0,97</w:t>
            </w:r>
          </w:p>
        </w:tc>
      </w:tr>
    </w:tbl>
    <w:p w14:paraId="28F31D9D" w14:textId="77777777" w:rsidR="00DA0E45" w:rsidRPr="00535CDB" w:rsidRDefault="00DA0E45" w:rsidP="00DA0E45">
      <w:pPr>
        <w:pStyle w:val="tekstost"/>
      </w:pPr>
      <w:r w:rsidRPr="00535CDB">
        <w:t> </w:t>
      </w:r>
    </w:p>
    <w:p w14:paraId="11C3C935" w14:textId="77777777" w:rsidR="00DA0E45" w:rsidRPr="00535CDB" w:rsidRDefault="00DA0E45" w:rsidP="00DA0E45">
      <w:pPr>
        <w:pStyle w:val="tekstost"/>
      </w:pPr>
      <w:r w:rsidRPr="00535CDB">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14:paraId="1F0AC06F" w14:textId="77777777" w:rsidR="00DA0E45" w:rsidRPr="00535CDB" w:rsidRDefault="00DA0E45" w:rsidP="00DA0E45">
      <w:pPr>
        <w:pStyle w:val="tekstost"/>
      </w:pPr>
      <w:r w:rsidRPr="00535CDB">
        <w:tab/>
        <w:t>Wilgotność gruntu podłoża podczas zagęszczania powinna być równa wilgotności optymalnej z tolerancją od -20% do +10%.</w:t>
      </w:r>
    </w:p>
    <w:p w14:paraId="7A85356B" w14:textId="77777777" w:rsidR="00DA0E45" w:rsidRPr="00535CDB" w:rsidRDefault="00DA0E45" w:rsidP="00DA0E45">
      <w:pPr>
        <w:pStyle w:val="Nagwek2"/>
        <w:rPr>
          <w:sz w:val="20"/>
        </w:rPr>
      </w:pPr>
      <w:r w:rsidRPr="00535CDB">
        <w:rPr>
          <w:sz w:val="20"/>
        </w:rPr>
        <w:t>5.5. Utrzymanie koryta oraz wyprofilowanego i zagęszczonego podłoża</w:t>
      </w:r>
    </w:p>
    <w:p w14:paraId="635F3491" w14:textId="77777777" w:rsidR="00DA0E45" w:rsidRPr="00535CDB" w:rsidRDefault="00DA0E45" w:rsidP="00DA0E45">
      <w:pPr>
        <w:jc w:val="both"/>
      </w:pPr>
      <w:r w:rsidRPr="00535CDB">
        <w:tab/>
        <w:t>Podłoże (koryto) po wyprofilowaniu i zagęszczeniu powinno być utrzymywane w dobrym stanie.</w:t>
      </w:r>
    </w:p>
    <w:p w14:paraId="567091B1" w14:textId="77777777" w:rsidR="00DA0E45" w:rsidRPr="00535CDB" w:rsidRDefault="00DA0E45" w:rsidP="00DA0E45">
      <w:pPr>
        <w:jc w:val="both"/>
      </w:pPr>
      <w:r w:rsidRPr="00535CDB">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14:paraId="3792062C" w14:textId="77777777" w:rsidR="00DA0E45" w:rsidRPr="00535CDB" w:rsidRDefault="00DA0E45" w:rsidP="00DA0E45">
      <w:pPr>
        <w:jc w:val="both"/>
      </w:pPr>
      <w:r w:rsidRPr="00535CDB">
        <w:tab/>
        <w:t>Jeżeli wyprofilowane i zagęszczone podłoże uległo nadmiernemu zawilgoceniu, to do układania kolejnej warstwy można przystąpić dopiero po jego naturalnym osuszeniu.</w:t>
      </w:r>
    </w:p>
    <w:p w14:paraId="78039BC6" w14:textId="77777777" w:rsidR="00DA0E45" w:rsidRDefault="00DA0E45" w:rsidP="00DA0E45">
      <w:pPr>
        <w:jc w:val="both"/>
      </w:pPr>
      <w:r w:rsidRPr="00535CDB">
        <w:tab/>
        <w:t>Po osuszeniu podłoża Inżynier oceni jego stan i ewentualnie zaleci wykonanie niezbędnych napraw. Jeżeli zawilgocenie nastąpiło wskutek zaniedbania Wykonawcy, to naprawę wykona on na własny koszt.</w:t>
      </w:r>
    </w:p>
    <w:p w14:paraId="3D7BFA4F" w14:textId="77777777" w:rsidR="00DA0E45" w:rsidRPr="00535CDB" w:rsidRDefault="00DA0E45" w:rsidP="00DA0E45">
      <w:pPr>
        <w:jc w:val="both"/>
        <w:rPr>
          <w:sz w:val="24"/>
          <w:szCs w:val="24"/>
        </w:rPr>
      </w:pPr>
    </w:p>
    <w:p w14:paraId="583E7A72" w14:textId="77777777" w:rsidR="00DA0E45" w:rsidRDefault="00DA0E45" w:rsidP="00DA0E45">
      <w:pPr>
        <w:pStyle w:val="Nagwek1"/>
        <w:rPr>
          <w:color w:val="000080"/>
          <w:sz w:val="24"/>
          <w:szCs w:val="24"/>
        </w:rPr>
      </w:pPr>
      <w:r w:rsidRPr="00535CDB">
        <w:rPr>
          <w:color w:val="000080"/>
          <w:sz w:val="24"/>
          <w:szCs w:val="24"/>
        </w:rPr>
        <w:t>6. Kontrola jakości robót</w:t>
      </w:r>
    </w:p>
    <w:p w14:paraId="6FEC47C5" w14:textId="77777777" w:rsidR="00DA0E45" w:rsidRPr="00535CDB" w:rsidRDefault="00DA0E45" w:rsidP="00DA0E45"/>
    <w:p w14:paraId="568A4108" w14:textId="77777777" w:rsidR="00DA0E45" w:rsidRPr="00535CDB" w:rsidRDefault="00DA0E45" w:rsidP="00DA0E45">
      <w:pPr>
        <w:pStyle w:val="Nagwek2"/>
        <w:rPr>
          <w:sz w:val="20"/>
        </w:rPr>
      </w:pPr>
      <w:r w:rsidRPr="00535CDB">
        <w:rPr>
          <w:sz w:val="20"/>
        </w:rPr>
        <w:t>6.1. Ogólne zasady kontroli jakości robót</w:t>
      </w:r>
    </w:p>
    <w:p w14:paraId="10EDC27A" w14:textId="77777777" w:rsidR="00DA0E45" w:rsidRPr="00535CDB" w:rsidRDefault="00DA0E45" w:rsidP="00DA0E45">
      <w:pPr>
        <w:jc w:val="both"/>
      </w:pPr>
      <w:r w:rsidRPr="00535CDB">
        <w:tab/>
        <w:t>Ogólne zasady kontroli jakości robót podano w SST D-M-00.00.00 „Wymagania ogólne” pkt 6.</w:t>
      </w:r>
    </w:p>
    <w:p w14:paraId="0C4A6B62" w14:textId="77777777" w:rsidR="00DA0E45" w:rsidRPr="00535CDB" w:rsidRDefault="00DA0E45" w:rsidP="00DA0E45">
      <w:pPr>
        <w:pStyle w:val="Nagwek2"/>
        <w:rPr>
          <w:sz w:val="20"/>
        </w:rPr>
      </w:pPr>
      <w:r w:rsidRPr="00535CDB">
        <w:rPr>
          <w:sz w:val="20"/>
        </w:rPr>
        <w:t>6.2. Badania w czasie robót</w:t>
      </w:r>
    </w:p>
    <w:p w14:paraId="1E0656C3" w14:textId="77777777" w:rsidR="00DA0E45" w:rsidRPr="00535CDB" w:rsidRDefault="00DA0E45" w:rsidP="00DA0E45">
      <w:pPr>
        <w:spacing w:after="120"/>
        <w:jc w:val="both"/>
      </w:pPr>
      <w:r w:rsidRPr="00535CDB">
        <w:rPr>
          <w:b/>
        </w:rPr>
        <w:t xml:space="preserve">6.2.1. </w:t>
      </w:r>
      <w:r w:rsidRPr="00535CDB">
        <w:t>Częstotliwość oraz zakres badań i pomiarów</w:t>
      </w:r>
    </w:p>
    <w:p w14:paraId="743B273E" w14:textId="77777777" w:rsidR="00DA0E45" w:rsidRPr="00535CDB" w:rsidRDefault="00DA0E45" w:rsidP="00DA0E45">
      <w:pPr>
        <w:jc w:val="both"/>
      </w:pPr>
      <w:r w:rsidRPr="00535CDB">
        <w:tab/>
        <w:t>Częstotliwość oraz zakres badań i pomiarów dotyczących cech geometrycznych i zagęszczenia koryta i wyprofilowanego podłoża podaje tablica 2.</w:t>
      </w:r>
    </w:p>
    <w:p w14:paraId="1C5D5C67" w14:textId="77777777" w:rsidR="00DA0E45" w:rsidRDefault="00DA0E45" w:rsidP="00DA0E45">
      <w:pPr>
        <w:spacing w:before="120" w:after="120"/>
        <w:ind w:left="1134" w:hanging="1134"/>
        <w:rPr>
          <w:i/>
        </w:rPr>
      </w:pPr>
      <w:r>
        <w:rPr>
          <w:i/>
        </w:rPr>
        <w:t>Tablica 2.</w:t>
      </w:r>
      <w:r>
        <w:rPr>
          <w:i/>
        </w:rPr>
        <w:tab/>
        <w:t>Częstotliwość oraz zakres badań i pomiarów wykonanego koryta i wyprofilowanego podłoża</w:t>
      </w:r>
    </w:p>
    <w:tbl>
      <w:tblPr>
        <w:tblW w:w="0" w:type="auto"/>
        <w:tblInd w:w="889" w:type="dxa"/>
        <w:tblLayout w:type="fixed"/>
        <w:tblCellMar>
          <w:left w:w="70" w:type="dxa"/>
          <w:right w:w="70" w:type="dxa"/>
        </w:tblCellMar>
        <w:tblLook w:val="0000" w:firstRow="0" w:lastRow="0" w:firstColumn="0" w:lastColumn="0" w:noHBand="0" w:noVBand="0"/>
      </w:tblPr>
      <w:tblGrid>
        <w:gridCol w:w="491"/>
        <w:gridCol w:w="2671"/>
        <w:gridCol w:w="4703"/>
      </w:tblGrid>
      <w:tr w:rsidR="00DA0E45" w14:paraId="77839FFF" w14:textId="77777777" w:rsidTr="00342BA4">
        <w:tblPrEx>
          <w:tblCellMar>
            <w:top w:w="0" w:type="dxa"/>
            <w:bottom w:w="0" w:type="dxa"/>
          </w:tblCellMar>
        </w:tblPrEx>
        <w:tc>
          <w:tcPr>
            <w:tcW w:w="491" w:type="dxa"/>
            <w:tcBorders>
              <w:top w:val="single" w:sz="6" w:space="0" w:color="auto"/>
              <w:left w:val="single" w:sz="6" w:space="0" w:color="auto"/>
              <w:bottom w:val="double" w:sz="6" w:space="0" w:color="auto"/>
              <w:right w:val="single" w:sz="6" w:space="0" w:color="auto"/>
            </w:tcBorders>
          </w:tcPr>
          <w:p w14:paraId="44AE9E07" w14:textId="77777777" w:rsidR="00DA0E45" w:rsidRDefault="00DA0E45" w:rsidP="00342BA4">
            <w:pPr>
              <w:spacing w:before="120"/>
              <w:jc w:val="center"/>
            </w:pPr>
            <w:r>
              <w:t>Lp.</w:t>
            </w:r>
          </w:p>
        </w:tc>
        <w:tc>
          <w:tcPr>
            <w:tcW w:w="2671" w:type="dxa"/>
            <w:tcBorders>
              <w:top w:val="single" w:sz="6" w:space="0" w:color="auto"/>
              <w:left w:val="single" w:sz="6" w:space="0" w:color="auto"/>
              <w:bottom w:val="double" w:sz="6" w:space="0" w:color="auto"/>
              <w:right w:val="single" w:sz="6" w:space="0" w:color="auto"/>
            </w:tcBorders>
          </w:tcPr>
          <w:p w14:paraId="79F15EBC" w14:textId="77777777" w:rsidR="00DA0E45" w:rsidRDefault="00DA0E45" w:rsidP="00342BA4">
            <w:pPr>
              <w:spacing w:before="60"/>
              <w:jc w:val="center"/>
            </w:pPr>
            <w:r>
              <w:t>Wyszczególnienie badań</w:t>
            </w:r>
          </w:p>
          <w:p w14:paraId="3BCC5D97" w14:textId="77777777" w:rsidR="00DA0E45" w:rsidRDefault="00DA0E45" w:rsidP="00342BA4">
            <w:pPr>
              <w:jc w:val="center"/>
            </w:pPr>
            <w:r>
              <w:t>i pomiarów</w:t>
            </w:r>
          </w:p>
        </w:tc>
        <w:tc>
          <w:tcPr>
            <w:tcW w:w="4703" w:type="dxa"/>
            <w:tcBorders>
              <w:top w:val="single" w:sz="6" w:space="0" w:color="auto"/>
              <w:left w:val="single" w:sz="6" w:space="0" w:color="auto"/>
              <w:bottom w:val="double" w:sz="6" w:space="0" w:color="auto"/>
              <w:right w:val="single" w:sz="6" w:space="0" w:color="auto"/>
            </w:tcBorders>
          </w:tcPr>
          <w:p w14:paraId="2A2F371C" w14:textId="77777777" w:rsidR="00DA0E45" w:rsidRDefault="00DA0E45" w:rsidP="00342BA4">
            <w:pPr>
              <w:spacing w:before="60"/>
              <w:jc w:val="center"/>
            </w:pPr>
            <w:r>
              <w:t>Minimalna częstotliwość</w:t>
            </w:r>
          </w:p>
          <w:p w14:paraId="7061EB0F" w14:textId="77777777" w:rsidR="00DA0E45" w:rsidRDefault="00DA0E45" w:rsidP="00342BA4">
            <w:pPr>
              <w:jc w:val="center"/>
            </w:pPr>
            <w:r>
              <w:t>badań i pomiarów</w:t>
            </w:r>
          </w:p>
        </w:tc>
      </w:tr>
      <w:tr w:rsidR="00DA0E45" w14:paraId="60DFE4C5" w14:textId="77777777" w:rsidTr="00342BA4">
        <w:tblPrEx>
          <w:tblCellMar>
            <w:top w:w="0" w:type="dxa"/>
            <w:bottom w:w="0" w:type="dxa"/>
          </w:tblCellMar>
        </w:tblPrEx>
        <w:tc>
          <w:tcPr>
            <w:tcW w:w="491" w:type="dxa"/>
            <w:tcBorders>
              <w:top w:val="nil"/>
              <w:left w:val="single" w:sz="6" w:space="0" w:color="auto"/>
              <w:bottom w:val="single" w:sz="6" w:space="0" w:color="auto"/>
              <w:right w:val="single" w:sz="6" w:space="0" w:color="auto"/>
            </w:tcBorders>
          </w:tcPr>
          <w:p w14:paraId="0F9DFC17" w14:textId="77777777" w:rsidR="00DA0E45" w:rsidRDefault="00DA0E45" w:rsidP="00342BA4">
            <w:pPr>
              <w:spacing w:before="60" w:after="60"/>
              <w:jc w:val="center"/>
            </w:pPr>
            <w:r>
              <w:t>1</w:t>
            </w:r>
          </w:p>
        </w:tc>
        <w:tc>
          <w:tcPr>
            <w:tcW w:w="2671" w:type="dxa"/>
            <w:tcBorders>
              <w:top w:val="nil"/>
              <w:left w:val="single" w:sz="6" w:space="0" w:color="auto"/>
              <w:bottom w:val="single" w:sz="6" w:space="0" w:color="auto"/>
              <w:right w:val="single" w:sz="6" w:space="0" w:color="auto"/>
            </w:tcBorders>
          </w:tcPr>
          <w:p w14:paraId="3ADCBAF9" w14:textId="77777777" w:rsidR="00DA0E45" w:rsidRDefault="00DA0E45" w:rsidP="00342BA4">
            <w:pPr>
              <w:spacing w:before="60" w:after="60"/>
            </w:pPr>
            <w:r>
              <w:t>Szerokość koryta</w:t>
            </w:r>
          </w:p>
        </w:tc>
        <w:tc>
          <w:tcPr>
            <w:tcW w:w="4703" w:type="dxa"/>
            <w:tcBorders>
              <w:top w:val="nil"/>
              <w:left w:val="single" w:sz="6" w:space="0" w:color="auto"/>
              <w:bottom w:val="single" w:sz="6" w:space="0" w:color="auto"/>
              <w:right w:val="single" w:sz="6" w:space="0" w:color="auto"/>
            </w:tcBorders>
          </w:tcPr>
          <w:p w14:paraId="40FDBA46" w14:textId="77777777" w:rsidR="00DA0E45" w:rsidRDefault="00DA0E45" w:rsidP="00342BA4">
            <w:pPr>
              <w:spacing w:before="60" w:after="60"/>
            </w:pPr>
            <w:r>
              <w:t xml:space="preserve">10 razy na </w:t>
            </w:r>
            <w:smartTag w:uri="urn:schemas-microsoft-com:office:smarttags" w:element="metricconverter">
              <w:smartTagPr>
                <w:attr w:name="ProductID" w:val="1 km"/>
              </w:smartTagPr>
              <w:r>
                <w:t>1 km</w:t>
              </w:r>
            </w:smartTag>
          </w:p>
        </w:tc>
      </w:tr>
      <w:tr w:rsidR="00DA0E45" w14:paraId="036A08E5" w14:textId="77777777" w:rsidTr="00342BA4">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Pr>
          <w:p w14:paraId="08585580" w14:textId="77777777" w:rsidR="00DA0E45" w:rsidRDefault="00DA0E45" w:rsidP="00342BA4">
            <w:pPr>
              <w:spacing w:before="60" w:after="60"/>
              <w:jc w:val="center"/>
            </w:pPr>
            <w:r>
              <w:t>2</w:t>
            </w:r>
          </w:p>
        </w:tc>
        <w:tc>
          <w:tcPr>
            <w:tcW w:w="2671" w:type="dxa"/>
            <w:tcBorders>
              <w:top w:val="single" w:sz="6" w:space="0" w:color="auto"/>
              <w:left w:val="single" w:sz="6" w:space="0" w:color="auto"/>
              <w:bottom w:val="single" w:sz="6" w:space="0" w:color="auto"/>
              <w:right w:val="single" w:sz="6" w:space="0" w:color="auto"/>
            </w:tcBorders>
          </w:tcPr>
          <w:p w14:paraId="3FD4D39C" w14:textId="77777777" w:rsidR="00DA0E45" w:rsidRDefault="00DA0E45" w:rsidP="00342BA4">
            <w:pPr>
              <w:spacing w:before="60" w:after="60"/>
            </w:pPr>
            <w:r>
              <w:t>Równość podłużna</w:t>
            </w:r>
          </w:p>
        </w:tc>
        <w:tc>
          <w:tcPr>
            <w:tcW w:w="4703" w:type="dxa"/>
            <w:tcBorders>
              <w:top w:val="single" w:sz="6" w:space="0" w:color="auto"/>
              <w:left w:val="single" w:sz="6" w:space="0" w:color="auto"/>
              <w:bottom w:val="single" w:sz="6" w:space="0" w:color="auto"/>
              <w:right w:val="single" w:sz="6" w:space="0" w:color="auto"/>
            </w:tcBorders>
          </w:tcPr>
          <w:p w14:paraId="62C6E5C8" w14:textId="77777777" w:rsidR="00DA0E45" w:rsidRDefault="00DA0E45" w:rsidP="00342BA4">
            <w:pPr>
              <w:spacing w:before="60" w:after="60"/>
            </w:pPr>
            <w:r>
              <w:t xml:space="preserve">co </w:t>
            </w:r>
            <w:smartTag w:uri="urn:schemas-microsoft-com:office:smarttags" w:element="metricconverter">
              <w:smartTagPr>
                <w:attr w:name="ProductID" w:val="20 m"/>
              </w:smartTagPr>
              <w:r>
                <w:t>20 m</w:t>
              </w:r>
            </w:smartTag>
            <w:r>
              <w:t xml:space="preserve"> na każdym pasie ruchu</w:t>
            </w:r>
          </w:p>
        </w:tc>
      </w:tr>
      <w:tr w:rsidR="00DA0E45" w14:paraId="05E5D4F4" w14:textId="77777777" w:rsidTr="00342BA4">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Pr>
          <w:p w14:paraId="15E3E780" w14:textId="77777777" w:rsidR="00DA0E45" w:rsidRDefault="00DA0E45" w:rsidP="00342BA4">
            <w:pPr>
              <w:spacing w:before="60" w:after="60"/>
              <w:jc w:val="center"/>
            </w:pPr>
            <w:r>
              <w:t>3</w:t>
            </w:r>
          </w:p>
        </w:tc>
        <w:tc>
          <w:tcPr>
            <w:tcW w:w="2671" w:type="dxa"/>
            <w:tcBorders>
              <w:top w:val="single" w:sz="6" w:space="0" w:color="auto"/>
              <w:left w:val="single" w:sz="6" w:space="0" w:color="auto"/>
              <w:bottom w:val="single" w:sz="6" w:space="0" w:color="auto"/>
              <w:right w:val="single" w:sz="6" w:space="0" w:color="auto"/>
            </w:tcBorders>
          </w:tcPr>
          <w:p w14:paraId="6334D6B7" w14:textId="77777777" w:rsidR="00DA0E45" w:rsidRDefault="00DA0E45" w:rsidP="00342BA4">
            <w:pPr>
              <w:spacing w:before="60" w:after="60"/>
            </w:pPr>
            <w:r>
              <w:t>Równość poprzeczna</w:t>
            </w:r>
          </w:p>
        </w:tc>
        <w:tc>
          <w:tcPr>
            <w:tcW w:w="4703" w:type="dxa"/>
            <w:tcBorders>
              <w:top w:val="single" w:sz="6" w:space="0" w:color="auto"/>
              <w:left w:val="single" w:sz="6" w:space="0" w:color="auto"/>
              <w:bottom w:val="single" w:sz="6" w:space="0" w:color="auto"/>
              <w:right w:val="single" w:sz="6" w:space="0" w:color="auto"/>
            </w:tcBorders>
          </w:tcPr>
          <w:p w14:paraId="7D1E13AD" w14:textId="77777777" w:rsidR="00DA0E45" w:rsidRDefault="00DA0E45" w:rsidP="00342BA4">
            <w:pPr>
              <w:spacing w:before="60" w:after="60"/>
            </w:pPr>
            <w:r>
              <w:t xml:space="preserve">10 razy na </w:t>
            </w:r>
            <w:smartTag w:uri="urn:schemas-microsoft-com:office:smarttags" w:element="metricconverter">
              <w:smartTagPr>
                <w:attr w:name="ProductID" w:val="1 km"/>
              </w:smartTagPr>
              <w:r>
                <w:t>1 km</w:t>
              </w:r>
            </w:smartTag>
          </w:p>
        </w:tc>
      </w:tr>
      <w:tr w:rsidR="00DA0E45" w14:paraId="7C3E10F0" w14:textId="77777777" w:rsidTr="00342BA4">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Pr>
          <w:p w14:paraId="5D2746EB" w14:textId="77777777" w:rsidR="00DA0E45" w:rsidRDefault="00DA0E45" w:rsidP="00342BA4">
            <w:pPr>
              <w:spacing w:before="60" w:after="60"/>
              <w:jc w:val="center"/>
            </w:pPr>
            <w:r>
              <w:lastRenderedPageBreak/>
              <w:t>4</w:t>
            </w:r>
          </w:p>
        </w:tc>
        <w:tc>
          <w:tcPr>
            <w:tcW w:w="2671" w:type="dxa"/>
            <w:tcBorders>
              <w:top w:val="single" w:sz="6" w:space="0" w:color="auto"/>
              <w:left w:val="single" w:sz="6" w:space="0" w:color="auto"/>
              <w:bottom w:val="single" w:sz="6" w:space="0" w:color="auto"/>
              <w:right w:val="single" w:sz="6" w:space="0" w:color="auto"/>
            </w:tcBorders>
          </w:tcPr>
          <w:p w14:paraId="46D87AA4" w14:textId="77777777" w:rsidR="00DA0E45" w:rsidRDefault="00DA0E45" w:rsidP="00342BA4">
            <w:pPr>
              <w:spacing w:before="60" w:after="60"/>
            </w:pPr>
            <w:r>
              <w:t xml:space="preserve">Spadki poprzeczne </w:t>
            </w:r>
            <w:r>
              <w:rPr>
                <w:vertAlign w:val="superscript"/>
              </w:rPr>
              <w:t>*)</w:t>
            </w:r>
          </w:p>
        </w:tc>
        <w:tc>
          <w:tcPr>
            <w:tcW w:w="4703" w:type="dxa"/>
            <w:tcBorders>
              <w:top w:val="single" w:sz="6" w:space="0" w:color="auto"/>
              <w:left w:val="single" w:sz="6" w:space="0" w:color="auto"/>
              <w:bottom w:val="single" w:sz="6" w:space="0" w:color="auto"/>
              <w:right w:val="single" w:sz="6" w:space="0" w:color="auto"/>
            </w:tcBorders>
          </w:tcPr>
          <w:p w14:paraId="79E5B42D" w14:textId="77777777" w:rsidR="00DA0E45" w:rsidRDefault="00DA0E45" w:rsidP="00342BA4">
            <w:pPr>
              <w:spacing w:before="60" w:after="60"/>
            </w:pPr>
            <w:r>
              <w:t xml:space="preserve">10 razy na </w:t>
            </w:r>
            <w:smartTag w:uri="urn:schemas-microsoft-com:office:smarttags" w:element="metricconverter">
              <w:smartTagPr>
                <w:attr w:name="ProductID" w:val="1 km"/>
              </w:smartTagPr>
              <w:r>
                <w:t>1 km</w:t>
              </w:r>
            </w:smartTag>
          </w:p>
        </w:tc>
      </w:tr>
      <w:tr w:rsidR="00DA0E45" w14:paraId="37B8D4DC" w14:textId="77777777" w:rsidTr="00342BA4">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Pr>
          <w:p w14:paraId="741CCB49" w14:textId="77777777" w:rsidR="00DA0E45" w:rsidRDefault="00DA0E45" w:rsidP="00342BA4">
            <w:pPr>
              <w:spacing w:before="120"/>
              <w:jc w:val="center"/>
            </w:pPr>
            <w:r>
              <w:t>5</w:t>
            </w:r>
          </w:p>
        </w:tc>
        <w:tc>
          <w:tcPr>
            <w:tcW w:w="2671" w:type="dxa"/>
            <w:tcBorders>
              <w:top w:val="single" w:sz="6" w:space="0" w:color="auto"/>
              <w:left w:val="single" w:sz="6" w:space="0" w:color="auto"/>
              <w:bottom w:val="single" w:sz="6" w:space="0" w:color="auto"/>
              <w:right w:val="single" w:sz="6" w:space="0" w:color="auto"/>
            </w:tcBorders>
          </w:tcPr>
          <w:p w14:paraId="0FAF925A" w14:textId="77777777" w:rsidR="00DA0E45" w:rsidRDefault="00DA0E45" w:rsidP="00342BA4">
            <w:pPr>
              <w:spacing w:before="120"/>
            </w:pPr>
            <w:r>
              <w:t>Rzędne wysokościowe</w:t>
            </w:r>
          </w:p>
        </w:tc>
        <w:tc>
          <w:tcPr>
            <w:tcW w:w="4703" w:type="dxa"/>
            <w:tcBorders>
              <w:top w:val="single" w:sz="6" w:space="0" w:color="auto"/>
              <w:left w:val="single" w:sz="6" w:space="0" w:color="auto"/>
              <w:bottom w:val="single" w:sz="6" w:space="0" w:color="auto"/>
              <w:right w:val="single" w:sz="6" w:space="0" w:color="auto"/>
            </w:tcBorders>
          </w:tcPr>
          <w:p w14:paraId="5D8E50A6" w14:textId="77777777" w:rsidR="00DA0E45" w:rsidRDefault="00DA0E45" w:rsidP="00342BA4">
            <w:pPr>
              <w:spacing w:before="20"/>
            </w:pPr>
            <w:r>
              <w:t xml:space="preserve">co </w:t>
            </w:r>
            <w:smartTag w:uri="urn:schemas-microsoft-com:office:smarttags" w:element="metricconverter">
              <w:smartTagPr>
                <w:attr w:name="ProductID" w:val="25 m"/>
              </w:smartTagPr>
              <w:r>
                <w:t>25 m</w:t>
              </w:r>
            </w:smartTag>
            <w:r>
              <w:t xml:space="preserve"> w osi jezdni i na jej krawędziach dla autostrad i dróg ekspresowych, co </w:t>
            </w:r>
            <w:smartTag w:uri="urn:schemas-microsoft-com:office:smarttags" w:element="metricconverter">
              <w:smartTagPr>
                <w:attr w:name="ProductID" w:val="100 m"/>
              </w:smartTagPr>
              <w:r>
                <w:t>100 m</w:t>
              </w:r>
            </w:smartTag>
            <w:r>
              <w:t xml:space="preserve"> dla pozostałych dróg</w:t>
            </w:r>
          </w:p>
        </w:tc>
      </w:tr>
      <w:tr w:rsidR="00DA0E45" w14:paraId="7A7E87AB" w14:textId="77777777" w:rsidTr="00342BA4">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Pr>
          <w:p w14:paraId="48CACC9F" w14:textId="77777777" w:rsidR="00DA0E45" w:rsidRDefault="00DA0E45" w:rsidP="00342BA4">
            <w:pPr>
              <w:spacing w:before="120"/>
              <w:jc w:val="center"/>
            </w:pPr>
            <w:r>
              <w:t>6</w:t>
            </w:r>
          </w:p>
        </w:tc>
        <w:tc>
          <w:tcPr>
            <w:tcW w:w="2671" w:type="dxa"/>
            <w:tcBorders>
              <w:top w:val="single" w:sz="6" w:space="0" w:color="auto"/>
              <w:left w:val="single" w:sz="6" w:space="0" w:color="auto"/>
              <w:bottom w:val="single" w:sz="6" w:space="0" w:color="auto"/>
              <w:right w:val="single" w:sz="6" w:space="0" w:color="auto"/>
            </w:tcBorders>
          </w:tcPr>
          <w:p w14:paraId="2718BB4B" w14:textId="77777777" w:rsidR="00DA0E45" w:rsidRDefault="00DA0E45" w:rsidP="00342BA4">
            <w:pPr>
              <w:spacing w:after="60"/>
            </w:pPr>
            <w:r>
              <w:t xml:space="preserve">Ukształtowanie osi w planie </w:t>
            </w:r>
            <w:r>
              <w:rPr>
                <w:vertAlign w:val="superscript"/>
              </w:rPr>
              <w:t>*)</w:t>
            </w:r>
          </w:p>
        </w:tc>
        <w:tc>
          <w:tcPr>
            <w:tcW w:w="4703" w:type="dxa"/>
            <w:tcBorders>
              <w:top w:val="single" w:sz="6" w:space="0" w:color="auto"/>
              <w:left w:val="single" w:sz="6" w:space="0" w:color="auto"/>
              <w:bottom w:val="single" w:sz="6" w:space="0" w:color="auto"/>
              <w:right w:val="single" w:sz="6" w:space="0" w:color="auto"/>
            </w:tcBorders>
          </w:tcPr>
          <w:p w14:paraId="7AD5E351" w14:textId="77777777" w:rsidR="00DA0E45" w:rsidRDefault="00DA0E45" w:rsidP="00342BA4">
            <w:pPr>
              <w:spacing w:after="60"/>
            </w:pPr>
            <w:r>
              <w:t xml:space="preserve">co </w:t>
            </w:r>
            <w:smartTag w:uri="urn:schemas-microsoft-com:office:smarttags" w:element="metricconverter">
              <w:smartTagPr>
                <w:attr w:name="ProductID" w:val="25 m"/>
              </w:smartTagPr>
              <w:r>
                <w:t>25 m</w:t>
              </w:r>
            </w:smartTag>
            <w:r>
              <w:t xml:space="preserve"> w osi jezdni i na jej krawędziach dla autostrad i dróg ekspresowych, co </w:t>
            </w:r>
            <w:smartTag w:uri="urn:schemas-microsoft-com:office:smarttags" w:element="metricconverter">
              <w:smartTagPr>
                <w:attr w:name="ProductID" w:val="100 m"/>
              </w:smartTagPr>
              <w:r>
                <w:t>100 m</w:t>
              </w:r>
            </w:smartTag>
            <w:r>
              <w:t xml:space="preserve"> dla pozostałych dróg</w:t>
            </w:r>
          </w:p>
        </w:tc>
      </w:tr>
      <w:tr w:rsidR="00DA0E45" w14:paraId="36718515" w14:textId="77777777" w:rsidTr="00342BA4">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Pr>
          <w:p w14:paraId="6327A507" w14:textId="77777777" w:rsidR="00DA0E45" w:rsidRDefault="00DA0E45" w:rsidP="00342BA4">
            <w:pPr>
              <w:spacing w:before="120"/>
              <w:jc w:val="center"/>
            </w:pPr>
            <w:r>
              <w:t>7</w:t>
            </w:r>
          </w:p>
        </w:tc>
        <w:tc>
          <w:tcPr>
            <w:tcW w:w="2671" w:type="dxa"/>
            <w:tcBorders>
              <w:top w:val="single" w:sz="6" w:space="0" w:color="auto"/>
              <w:left w:val="single" w:sz="6" w:space="0" w:color="auto"/>
              <w:bottom w:val="single" w:sz="6" w:space="0" w:color="auto"/>
              <w:right w:val="single" w:sz="6" w:space="0" w:color="auto"/>
            </w:tcBorders>
          </w:tcPr>
          <w:p w14:paraId="02F2EBC4" w14:textId="77777777" w:rsidR="00DA0E45" w:rsidRDefault="00DA0E45" w:rsidP="00342BA4">
            <w:pPr>
              <w:spacing w:before="20"/>
            </w:pPr>
            <w:r>
              <w:t>Zagęszczenie, wilgotność gruntu podłoża</w:t>
            </w:r>
          </w:p>
        </w:tc>
        <w:tc>
          <w:tcPr>
            <w:tcW w:w="4703" w:type="dxa"/>
            <w:tcBorders>
              <w:top w:val="single" w:sz="6" w:space="0" w:color="auto"/>
              <w:left w:val="single" w:sz="6" w:space="0" w:color="auto"/>
              <w:bottom w:val="single" w:sz="6" w:space="0" w:color="auto"/>
              <w:right w:val="single" w:sz="6" w:space="0" w:color="auto"/>
            </w:tcBorders>
          </w:tcPr>
          <w:p w14:paraId="3C4B7919" w14:textId="77777777" w:rsidR="00DA0E45" w:rsidRDefault="00DA0E45" w:rsidP="00342BA4">
            <w:pPr>
              <w:spacing w:before="20" w:after="60"/>
            </w:pPr>
            <w:r>
              <w:t xml:space="preserve">w 2 punktach na dziennej działce roboczej, lecz nie rzadziej niż raz na </w:t>
            </w:r>
            <w:smartTag w:uri="urn:schemas-microsoft-com:office:smarttags" w:element="metricconverter">
              <w:smartTagPr>
                <w:attr w:name="ProductID" w:val="600 m2"/>
              </w:smartTagPr>
              <w:r>
                <w:t>600 m</w:t>
              </w:r>
              <w:r>
                <w:rPr>
                  <w:vertAlign w:val="superscript"/>
                </w:rPr>
                <w:t>2</w:t>
              </w:r>
            </w:smartTag>
          </w:p>
        </w:tc>
      </w:tr>
      <w:tr w:rsidR="00DA0E45" w14:paraId="18D5E05F" w14:textId="77777777" w:rsidTr="00342BA4">
        <w:tblPrEx>
          <w:tblCellMar>
            <w:top w:w="0" w:type="dxa"/>
            <w:bottom w:w="0" w:type="dxa"/>
          </w:tblCellMar>
        </w:tblPrEx>
        <w:tc>
          <w:tcPr>
            <w:tcW w:w="7865" w:type="dxa"/>
            <w:gridSpan w:val="3"/>
            <w:tcBorders>
              <w:top w:val="single" w:sz="6" w:space="0" w:color="auto"/>
              <w:left w:val="single" w:sz="6" w:space="0" w:color="auto"/>
              <w:bottom w:val="single" w:sz="6" w:space="0" w:color="auto"/>
              <w:right w:val="single" w:sz="6" w:space="0" w:color="auto"/>
            </w:tcBorders>
          </w:tcPr>
          <w:p w14:paraId="3C0B4EAC" w14:textId="77777777" w:rsidR="00DA0E45" w:rsidRDefault="00DA0E45" w:rsidP="00342BA4">
            <w:pPr>
              <w:spacing w:before="20" w:after="60"/>
            </w:pPr>
            <w:r>
              <w:t>*) Dodatkowe pomiary spadków poprzecznych i ukształtowania osi w planie należy wykonać w punktach głównych łuków poziomych</w:t>
            </w:r>
            <w:r>
              <w:tab/>
            </w:r>
          </w:p>
        </w:tc>
      </w:tr>
    </w:tbl>
    <w:p w14:paraId="600D65B7" w14:textId="77777777" w:rsidR="00DA0E45" w:rsidRDefault="00DA0E45" w:rsidP="00DA0E45">
      <w:pPr>
        <w:spacing w:before="240" w:after="120"/>
        <w:jc w:val="both"/>
      </w:pPr>
      <w:r>
        <w:rPr>
          <w:b/>
        </w:rPr>
        <w:t xml:space="preserve">6.2.2. </w:t>
      </w:r>
      <w:r>
        <w:t>Szerokość koryta (profilowanego podłoża)Szerokość koryta i profilowanego podłoża nie może różnić się od szerokości projektowanej o więcej niż +</w:t>
      </w:r>
      <w:smartTag w:uri="urn:schemas-microsoft-com:office:smarttags" w:element="metricconverter">
        <w:smartTagPr>
          <w:attr w:name="ProductID" w:val="10 cm"/>
        </w:smartTagPr>
        <w:r>
          <w:t>10 cm</w:t>
        </w:r>
      </w:smartTag>
      <w:r>
        <w:t xml:space="preserve"> i </w:t>
      </w:r>
      <w:smartTag w:uri="urn:schemas-microsoft-com:office:smarttags" w:element="metricconverter">
        <w:smartTagPr>
          <w:attr w:name="ProductID" w:val="-5 cm"/>
        </w:smartTagPr>
        <w:r>
          <w:t>-5 cm</w:t>
        </w:r>
      </w:smartTag>
      <w:r>
        <w:t>.</w:t>
      </w:r>
    </w:p>
    <w:p w14:paraId="7D040913" w14:textId="77777777" w:rsidR="00DA0E45" w:rsidRDefault="00DA0E45" w:rsidP="00DA0E45">
      <w:pPr>
        <w:spacing w:before="120" w:after="120"/>
        <w:jc w:val="both"/>
      </w:pPr>
      <w:r>
        <w:rPr>
          <w:b/>
        </w:rPr>
        <w:t xml:space="preserve">6.2.3. </w:t>
      </w:r>
      <w:r>
        <w:t>Równość koryta (profilowanego podłoża)</w:t>
      </w:r>
    </w:p>
    <w:p w14:paraId="1EDD17D0" w14:textId="77777777" w:rsidR="00DA0E45" w:rsidRDefault="00DA0E45" w:rsidP="00DA0E45">
      <w:pPr>
        <w:jc w:val="both"/>
      </w:pPr>
      <w:r>
        <w:t>Nierówności podłużne koryta i profilowanego podłoża należy mierzyć 4-metrową łatą zgodnie z normą BN-68/8931-04 [4].</w:t>
      </w:r>
    </w:p>
    <w:p w14:paraId="22E74E6C" w14:textId="77777777" w:rsidR="00DA0E45" w:rsidRDefault="00DA0E45" w:rsidP="00DA0E45">
      <w:pPr>
        <w:jc w:val="both"/>
      </w:pPr>
      <w:r>
        <w:tab/>
        <w:t>Nierówności poprzeczne należy mierzyć 4-metrową łatą.</w:t>
      </w:r>
    </w:p>
    <w:p w14:paraId="1EB84021" w14:textId="77777777" w:rsidR="00DA0E45" w:rsidRDefault="00DA0E45" w:rsidP="00DA0E45">
      <w:pPr>
        <w:jc w:val="both"/>
      </w:pPr>
      <w:r>
        <w:tab/>
        <w:t xml:space="preserve">Nierówności nie mogą przekraczać </w:t>
      </w:r>
      <w:smartTag w:uri="urn:schemas-microsoft-com:office:smarttags" w:element="metricconverter">
        <w:smartTagPr>
          <w:attr w:name="ProductID" w:val="20 mm"/>
        </w:smartTagPr>
        <w:r>
          <w:t>20 mm</w:t>
        </w:r>
      </w:smartTag>
      <w:r>
        <w:t>.</w:t>
      </w:r>
    </w:p>
    <w:p w14:paraId="1D8102FD" w14:textId="77777777" w:rsidR="00DA0E45" w:rsidRDefault="00DA0E45" w:rsidP="00DA0E45">
      <w:pPr>
        <w:spacing w:before="120" w:after="120"/>
        <w:jc w:val="both"/>
      </w:pPr>
      <w:r>
        <w:rPr>
          <w:b/>
        </w:rPr>
        <w:t xml:space="preserve">6.2.4. </w:t>
      </w:r>
      <w:r>
        <w:t>Spadki poprzeczne</w:t>
      </w:r>
    </w:p>
    <w:p w14:paraId="795C64F2" w14:textId="77777777" w:rsidR="00DA0E45" w:rsidRDefault="00DA0E45" w:rsidP="00DA0E45">
      <w:pPr>
        <w:jc w:val="both"/>
      </w:pPr>
      <w:r>
        <w:t xml:space="preserve">Spadki poprzeczne koryta i profilowanego podłoża powinny być zgodne z dokumentacją projektową z tolerancją </w:t>
      </w:r>
      <w:r>
        <w:sym w:font="Symbol" w:char="00B1"/>
      </w:r>
      <w:r>
        <w:t xml:space="preserve"> 0,5%.</w:t>
      </w:r>
    </w:p>
    <w:p w14:paraId="68998B3A" w14:textId="77777777" w:rsidR="00DA0E45" w:rsidRDefault="00DA0E45" w:rsidP="00DA0E45">
      <w:pPr>
        <w:spacing w:before="120" w:after="120"/>
        <w:jc w:val="both"/>
      </w:pPr>
      <w:r>
        <w:rPr>
          <w:b/>
        </w:rPr>
        <w:t xml:space="preserve">6.2.5. </w:t>
      </w:r>
      <w:r>
        <w:t>Rzędne wysokościowe</w:t>
      </w:r>
    </w:p>
    <w:p w14:paraId="657F1EE3" w14:textId="77777777" w:rsidR="00DA0E45" w:rsidRDefault="00DA0E45" w:rsidP="00DA0E45">
      <w:pPr>
        <w:jc w:val="both"/>
      </w:pPr>
      <w:r>
        <w:tab/>
        <w:t>Różnice pomiędzy rzędnymi wysokościowymi koryta lub wyprofilowanego podłoża i rzędnymi projektowanymi nie powinny przekraczać +</w:t>
      </w:r>
      <w:smartTag w:uri="urn:schemas-microsoft-com:office:smarttags" w:element="metricconverter">
        <w:smartTagPr>
          <w:attr w:name="ProductID" w:val="1 cm"/>
        </w:smartTagPr>
        <w:r>
          <w:t>1 cm</w:t>
        </w:r>
      </w:smartTag>
      <w:r>
        <w:t xml:space="preserve">, </w:t>
      </w:r>
      <w:smartTag w:uri="urn:schemas-microsoft-com:office:smarttags" w:element="metricconverter">
        <w:smartTagPr>
          <w:attr w:name="ProductID" w:val="-2 cm"/>
        </w:smartTagPr>
        <w:r>
          <w:t>-2 cm</w:t>
        </w:r>
      </w:smartTag>
      <w:r>
        <w:t>.</w:t>
      </w:r>
    </w:p>
    <w:p w14:paraId="58D0DD1B" w14:textId="77777777" w:rsidR="00DA0E45" w:rsidRDefault="00DA0E45" w:rsidP="00DA0E45">
      <w:pPr>
        <w:spacing w:before="120" w:after="120"/>
        <w:jc w:val="both"/>
      </w:pPr>
      <w:r>
        <w:rPr>
          <w:b/>
        </w:rPr>
        <w:t xml:space="preserve">6.2.6. </w:t>
      </w:r>
      <w:r>
        <w:t>Ukształtowanie osi w planie</w:t>
      </w:r>
    </w:p>
    <w:p w14:paraId="5FBF2B33" w14:textId="77777777" w:rsidR="00DA0E45" w:rsidRDefault="00DA0E45" w:rsidP="00DA0E45">
      <w:pPr>
        <w:jc w:val="both"/>
      </w:pPr>
      <w:r>
        <w:tab/>
        <w:t xml:space="preserve">Oś w planie nie może być przesunięta w stosunku do osi projektowanej o więcej niż </w:t>
      </w:r>
      <w:r>
        <w:sym w:font="Symbol" w:char="00B1"/>
      </w:r>
      <w:r>
        <w:t xml:space="preserve"> </w:t>
      </w:r>
      <w:smartTag w:uri="urn:schemas-microsoft-com:office:smarttags" w:element="metricconverter">
        <w:smartTagPr>
          <w:attr w:name="ProductID" w:val="3 cm"/>
        </w:smartTagPr>
        <w:r>
          <w:t>3 cm</w:t>
        </w:r>
      </w:smartTag>
      <w:r>
        <w:t xml:space="preserve"> dla autostrad i dróg ekspresowych lub więcej niż </w:t>
      </w:r>
      <w:r>
        <w:sym w:font="Symbol" w:char="00B1"/>
      </w:r>
      <w:r>
        <w:t xml:space="preserve"> </w:t>
      </w:r>
      <w:smartTag w:uri="urn:schemas-microsoft-com:office:smarttags" w:element="metricconverter">
        <w:smartTagPr>
          <w:attr w:name="ProductID" w:val="5 cm"/>
        </w:smartTagPr>
        <w:r>
          <w:t>5 cm</w:t>
        </w:r>
      </w:smartTag>
      <w:r>
        <w:t xml:space="preserve"> dla pozostałych dróg.</w:t>
      </w:r>
    </w:p>
    <w:p w14:paraId="43E92DED" w14:textId="77777777" w:rsidR="00DA0E45" w:rsidRDefault="00DA0E45" w:rsidP="00DA0E45">
      <w:pPr>
        <w:spacing w:before="120" w:after="120"/>
        <w:jc w:val="both"/>
      </w:pPr>
      <w:r>
        <w:rPr>
          <w:b/>
        </w:rPr>
        <w:t xml:space="preserve">6.2.7. </w:t>
      </w:r>
      <w:r>
        <w:t>Zagęszczenie koryta (profilowanego podłoża)</w:t>
      </w:r>
    </w:p>
    <w:p w14:paraId="6393B43D" w14:textId="77777777" w:rsidR="00DA0E45" w:rsidRDefault="00DA0E45" w:rsidP="00DA0E45">
      <w:pPr>
        <w:jc w:val="both"/>
      </w:pPr>
      <w:r>
        <w:t>Wskaźnik zagęszczenia koryta i wyprofilowanego podłoża określony wg BN-77/8931-12 [5] nie powinien być mniejszy od podanego w tablicy 1.</w:t>
      </w:r>
    </w:p>
    <w:p w14:paraId="34766B84" w14:textId="77777777" w:rsidR="00DA0E45" w:rsidRDefault="00DA0E45" w:rsidP="00DA0E45">
      <w:pPr>
        <w:jc w:val="both"/>
      </w:pPr>
      <w:r>
        <w:t xml:space="preserve">Jeśli jako kryterium dobrego zagęszczenia stosuje się porównanie wartości modułów odkształcenia, to wartość stosunku wtórnego do pierwotnego modułu odkształcenia, określonych zgodnie z normą BN-64/8931-02 [3] nie powinna być </w:t>
      </w:r>
      <w:proofErr w:type="spellStart"/>
      <w:r>
        <w:t>większaod</w:t>
      </w:r>
      <w:proofErr w:type="spellEnd"/>
      <w:r>
        <w:t xml:space="preserve"> 2,2.</w:t>
      </w:r>
    </w:p>
    <w:p w14:paraId="3E077B3F" w14:textId="77777777" w:rsidR="00DA0E45" w:rsidRDefault="00DA0E45" w:rsidP="00DA0E45">
      <w:pPr>
        <w:jc w:val="both"/>
      </w:pPr>
      <w:r>
        <w:t>Wilgotność w czasie zagęszczania należy badać według PN-B-06714-17 [2]. Wilgotność gruntu podłoża powinna być równa wilgotności optymalnej z tolerancją od -20% do + 10%.</w:t>
      </w:r>
    </w:p>
    <w:p w14:paraId="401006FD" w14:textId="77777777" w:rsidR="00DA0E45" w:rsidRPr="00535CDB" w:rsidRDefault="00DA0E45" w:rsidP="00DA0E45">
      <w:pPr>
        <w:pStyle w:val="Nagwek2"/>
        <w:ind w:left="426" w:hanging="426"/>
        <w:rPr>
          <w:b w:val="0"/>
          <w:sz w:val="20"/>
        </w:rPr>
      </w:pPr>
      <w:r w:rsidRPr="00535CDB">
        <w:rPr>
          <w:sz w:val="20"/>
        </w:rPr>
        <w:t>6.3. Zasady postępowania z wadliwie wykonanymi odcinkami koryta (profilowanego podłoża)</w:t>
      </w:r>
    </w:p>
    <w:p w14:paraId="41E8EF5A" w14:textId="77777777" w:rsidR="00DA0E45" w:rsidRDefault="00DA0E45" w:rsidP="00DA0E45">
      <w:pPr>
        <w:jc w:val="both"/>
      </w:pPr>
      <w:r w:rsidRPr="00535CDB">
        <w:t xml:space="preserve">Wszystkie powierzchnie, które wykazują większe odchylenia cech geometrycznych od określonych w punkcie 6.2 powinny być naprawione przez spulchnienie do głębokości co najmniej </w:t>
      </w:r>
      <w:smartTag w:uri="urn:schemas-microsoft-com:office:smarttags" w:element="metricconverter">
        <w:smartTagPr>
          <w:attr w:name="ProductID" w:val="10 cm"/>
        </w:smartTagPr>
        <w:r w:rsidRPr="00535CDB">
          <w:t>10 cm</w:t>
        </w:r>
      </w:smartTag>
      <w:r w:rsidRPr="00535CDB">
        <w:t>, wyrównanie i powtórne zagęszczenie. Dodanie nowego materiału bez spulchnienia wykonanej warstwy jest niedopuszczalne.</w:t>
      </w:r>
    </w:p>
    <w:p w14:paraId="20332890" w14:textId="77777777" w:rsidR="00DA0E45" w:rsidRPr="00535CDB" w:rsidRDefault="00DA0E45" w:rsidP="00DA0E45">
      <w:pPr>
        <w:jc w:val="both"/>
      </w:pPr>
    </w:p>
    <w:p w14:paraId="65A7E01F" w14:textId="77777777" w:rsidR="00DA0E45" w:rsidRDefault="00DA0E45" w:rsidP="00DA0E45">
      <w:pPr>
        <w:pStyle w:val="Nagwek1"/>
        <w:rPr>
          <w:color w:val="000080"/>
          <w:sz w:val="22"/>
          <w:szCs w:val="22"/>
        </w:rPr>
      </w:pPr>
      <w:r w:rsidRPr="00535CDB">
        <w:rPr>
          <w:color w:val="000080"/>
          <w:sz w:val="22"/>
          <w:szCs w:val="22"/>
        </w:rPr>
        <w:t>7. Obmiar robót</w:t>
      </w:r>
    </w:p>
    <w:p w14:paraId="744DEDDC" w14:textId="77777777" w:rsidR="00DA0E45" w:rsidRPr="00535CDB" w:rsidRDefault="00DA0E45" w:rsidP="00DA0E45"/>
    <w:p w14:paraId="6CAB00A3" w14:textId="77777777" w:rsidR="00DA0E45" w:rsidRPr="00535CDB" w:rsidRDefault="00DA0E45" w:rsidP="00DA0E45">
      <w:pPr>
        <w:pStyle w:val="Nagwek2"/>
        <w:rPr>
          <w:sz w:val="20"/>
        </w:rPr>
      </w:pPr>
      <w:r w:rsidRPr="00535CDB">
        <w:rPr>
          <w:sz w:val="20"/>
        </w:rPr>
        <w:t>7.1. Ogólne zasady obmiaru robót</w:t>
      </w:r>
    </w:p>
    <w:p w14:paraId="774466D2" w14:textId="77777777" w:rsidR="00DA0E45" w:rsidRPr="00535CDB" w:rsidRDefault="00DA0E45" w:rsidP="00DA0E45">
      <w:pPr>
        <w:jc w:val="both"/>
      </w:pPr>
      <w:r w:rsidRPr="00535CDB">
        <w:tab/>
        <w:t>Ogólne zasady obmiaru robót podano w SST D-M-00.00.00 „Wymagania ogólne” pkt 7.</w:t>
      </w:r>
    </w:p>
    <w:p w14:paraId="16297F00" w14:textId="77777777" w:rsidR="00DA0E45" w:rsidRPr="00535CDB" w:rsidRDefault="00DA0E45" w:rsidP="00DA0E45">
      <w:pPr>
        <w:pStyle w:val="Nagwek2"/>
        <w:rPr>
          <w:sz w:val="20"/>
        </w:rPr>
      </w:pPr>
      <w:r w:rsidRPr="00535CDB">
        <w:rPr>
          <w:sz w:val="20"/>
        </w:rPr>
        <w:t>7.2. Jednostka obmiarowa</w:t>
      </w:r>
    </w:p>
    <w:p w14:paraId="50F9EE74" w14:textId="77777777" w:rsidR="00DA0E45" w:rsidRDefault="00DA0E45" w:rsidP="00DA0E45">
      <w:pPr>
        <w:jc w:val="both"/>
      </w:pPr>
      <w:r w:rsidRPr="00535CDB">
        <w:tab/>
        <w:t>Jednostką obmiarową jest m</w:t>
      </w:r>
      <w:r w:rsidRPr="00535CDB">
        <w:rPr>
          <w:vertAlign w:val="superscript"/>
        </w:rPr>
        <w:t>2</w:t>
      </w:r>
      <w:r w:rsidRPr="00535CDB">
        <w:t xml:space="preserve"> (metr kwadratowy) wykonanego i odebranego koryta.</w:t>
      </w:r>
    </w:p>
    <w:p w14:paraId="1F3DAE9C" w14:textId="77777777" w:rsidR="00DA0E45" w:rsidRPr="00535CDB" w:rsidRDefault="00DA0E45" w:rsidP="00DA0E45">
      <w:pPr>
        <w:jc w:val="both"/>
      </w:pPr>
    </w:p>
    <w:p w14:paraId="1C6061AD" w14:textId="77777777" w:rsidR="00DA0E45" w:rsidRPr="00535CDB" w:rsidRDefault="00DA0E45" w:rsidP="00DA0E45">
      <w:pPr>
        <w:pStyle w:val="Nagwek1"/>
        <w:rPr>
          <w:color w:val="000080"/>
          <w:sz w:val="24"/>
          <w:szCs w:val="24"/>
        </w:rPr>
      </w:pPr>
      <w:r w:rsidRPr="00535CDB">
        <w:rPr>
          <w:color w:val="000080"/>
          <w:sz w:val="24"/>
          <w:szCs w:val="24"/>
        </w:rPr>
        <w:t>8. odbiór robót</w:t>
      </w:r>
    </w:p>
    <w:p w14:paraId="388FFCDE" w14:textId="77777777" w:rsidR="00DA0E45" w:rsidRPr="00535CDB" w:rsidRDefault="00DA0E45" w:rsidP="00DA0E45">
      <w:pPr>
        <w:jc w:val="both"/>
      </w:pPr>
      <w:r w:rsidRPr="00535CDB">
        <w:tab/>
        <w:t>Ogólne zasady odbioru robót podano w SST D-M-00.00.00 „Wymagania ogólne” pkt 8.</w:t>
      </w:r>
    </w:p>
    <w:p w14:paraId="06E4B462" w14:textId="77777777" w:rsidR="00DA0E45" w:rsidRDefault="00DA0E45" w:rsidP="00DA0E45">
      <w:pPr>
        <w:jc w:val="both"/>
      </w:pPr>
      <w:r w:rsidRPr="00535CDB">
        <w:lastRenderedPageBreak/>
        <w:tab/>
        <w:t>Roboty uznaje się za wykonane zgodnie z dokumentacja projektową, SST i wymaganiami Inżyniera, jeżeli wszystkie pomiary i badania z zachowaniem tolerancji wg punktu 6 dały wyniki pozytywne.</w:t>
      </w:r>
    </w:p>
    <w:p w14:paraId="0EE8BE04" w14:textId="77777777" w:rsidR="00DA0E45" w:rsidRPr="00535CDB" w:rsidRDefault="00DA0E45" w:rsidP="00DA0E45">
      <w:pPr>
        <w:jc w:val="both"/>
      </w:pPr>
    </w:p>
    <w:p w14:paraId="11CE4B97" w14:textId="77777777" w:rsidR="00DA0E45" w:rsidRDefault="00DA0E45" w:rsidP="00DA0E45">
      <w:pPr>
        <w:pStyle w:val="Nagwek1"/>
        <w:rPr>
          <w:color w:val="000080"/>
          <w:sz w:val="24"/>
          <w:szCs w:val="24"/>
        </w:rPr>
      </w:pPr>
      <w:r w:rsidRPr="00535CDB">
        <w:rPr>
          <w:color w:val="000080"/>
          <w:sz w:val="24"/>
          <w:szCs w:val="24"/>
        </w:rPr>
        <w:t>9. podstawa płatności</w:t>
      </w:r>
    </w:p>
    <w:p w14:paraId="323692CF" w14:textId="77777777" w:rsidR="00DA0E45" w:rsidRPr="00535CDB" w:rsidRDefault="00DA0E45" w:rsidP="00DA0E45"/>
    <w:p w14:paraId="72AAD674" w14:textId="77777777" w:rsidR="00DA0E45" w:rsidRPr="00535CDB" w:rsidRDefault="00DA0E45" w:rsidP="00DA0E45">
      <w:pPr>
        <w:pStyle w:val="Nagwek2"/>
        <w:rPr>
          <w:sz w:val="20"/>
        </w:rPr>
      </w:pPr>
      <w:r w:rsidRPr="00535CDB">
        <w:rPr>
          <w:sz w:val="20"/>
        </w:rPr>
        <w:t>9.1. Ogólne ustalenia dotyczące podstawy płatności</w:t>
      </w:r>
    </w:p>
    <w:p w14:paraId="1EF21661" w14:textId="77777777" w:rsidR="00DA0E45" w:rsidRPr="00535CDB" w:rsidRDefault="00DA0E45" w:rsidP="00DA0E45">
      <w:pPr>
        <w:jc w:val="both"/>
      </w:pPr>
      <w:r w:rsidRPr="00535CDB">
        <w:tab/>
        <w:t>Ogólne ustalenia dotyczące podstawy płatności podano w SST D-M-00.00.00 „Wymagania ogólne” pkt 9.</w:t>
      </w:r>
    </w:p>
    <w:p w14:paraId="485152FE" w14:textId="77777777" w:rsidR="00DA0E45" w:rsidRPr="00535CDB" w:rsidRDefault="00DA0E45" w:rsidP="00DA0E45">
      <w:pPr>
        <w:pStyle w:val="Nagwek2"/>
        <w:rPr>
          <w:sz w:val="20"/>
        </w:rPr>
      </w:pPr>
      <w:r w:rsidRPr="00535CDB">
        <w:rPr>
          <w:sz w:val="20"/>
        </w:rPr>
        <w:t>9.2. Cena jednostki obmiarowej</w:t>
      </w:r>
    </w:p>
    <w:p w14:paraId="72E9A63F" w14:textId="77777777" w:rsidR="00DA0E45" w:rsidRPr="00535CDB" w:rsidRDefault="00DA0E45" w:rsidP="00DA0E45">
      <w:pPr>
        <w:jc w:val="both"/>
      </w:pPr>
      <w:r w:rsidRPr="00535CDB">
        <w:tab/>
        <w:t xml:space="preserve">Cena wykonania </w:t>
      </w:r>
      <w:smartTag w:uri="urn:schemas-microsoft-com:office:smarttags" w:element="metricconverter">
        <w:smartTagPr>
          <w:attr w:name="ProductID" w:val="1 m2"/>
        </w:smartTagPr>
        <w:r w:rsidRPr="00535CDB">
          <w:t>1 m</w:t>
        </w:r>
        <w:r w:rsidRPr="00535CDB">
          <w:rPr>
            <w:vertAlign w:val="superscript"/>
          </w:rPr>
          <w:t>2</w:t>
        </w:r>
      </w:smartTag>
      <w:r w:rsidRPr="00535CDB">
        <w:t xml:space="preserve"> koryta obejmuje:</w:t>
      </w:r>
    </w:p>
    <w:p w14:paraId="089BC623" w14:textId="77777777" w:rsidR="00DA0E45" w:rsidRPr="00535CDB" w:rsidRDefault="00DA0E45" w:rsidP="00DA0E45">
      <w:pPr>
        <w:jc w:val="both"/>
      </w:pPr>
      <w:r w:rsidRPr="00535CDB">
        <w:t>      prace pomiarowe i roboty przygotowawcze,</w:t>
      </w:r>
    </w:p>
    <w:p w14:paraId="5B0CDAF2" w14:textId="77777777" w:rsidR="00DA0E45" w:rsidRPr="00535CDB" w:rsidRDefault="00DA0E45" w:rsidP="00DA0E45">
      <w:pPr>
        <w:jc w:val="both"/>
      </w:pPr>
      <w:r w:rsidRPr="00535CDB">
        <w:t>      odspojenie gruntu z przerzutem na pobocze i rozplantowaniem,</w:t>
      </w:r>
    </w:p>
    <w:p w14:paraId="17385287" w14:textId="77777777" w:rsidR="00DA0E45" w:rsidRPr="00535CDB" w:rsidRDefault="00DA0E45" w:rsidP="00DA0E45">
      <w:pPr>
        <w:jc w:val="both"/>
      </w:pPr>
      <w:r w:rsidRPr="00535CDB">
        <w:t>      załadunek nadmiaru odspojonego gruntu na środki transportowe i odwiezienie na odkład lub nasyp,</w:t>
      </w:r>
    </w:p>
    <w:p w14:paraId="66C2CBFF" w14:textId="77777777" w:rsidR="00DA0E45" w:rsidRPr="00535CDB" w:rsidRDefault="00DA0E45" w:rsidP="00DA0E45">
      <w:pPr>
        <w:jc w:val="both"/>
      </w:pPr>
      <w:r w:rsidRPr="00535CDB">
        <w:t>      profilowanie dna koryta lub podłoża,</w:t>
      </w:r>
    </w:p>
    <w:p w14:paraId="5A18F65D" w14:textId="77777777" w:rsidR="00DA0E45" w:rsidRPr="00535CDB" w:rsidRDefault="00DA0E45" w:rsidP="00DA0E45">
      <w:pPr>
        <w:jc w:val="both"/>
      </w:pPr>
      <w:r w:rsidRPr="00535CDB">
        <w:t>      zagęszczenie,</w:t>
      </w:r>
    </w:p>
    <w:p w14:paraId="0AB029E0" w14:textId="77777777" w:rsidR="00DA0E45" w:rsidRPr="00535CDB" w:rsidRDefault="00DA0E45" w:rsidP="00DA0E45">
      <w:pPr>
        <w:jc w:val="both"/>
      </w:pPr>
      <w:r w:rsidRPr="00535CDB">
        <w:t>      utrzymanie koryta lub podłoża,</w:t>
      </w:r>
    </w:p>
    <w:p w14:paraId="234332EB" w14:textId="77777777" w:rsidR="00DA0E45" w:rsidRPr="00535CDB" w:rsidRDefault="00DA0E45" w:rsidP="00DA0E45">
      <w:pPr>
        <w:jc w:val="both"/>
      </w:pPr>
      <w:r w:rsidRPr="00535CDB">
        <w:t>      przeprowadzenie pomiarów i badań laboratoryjnych, wymaganych w specyfikacji technicznej.</w:t>
      </w:r>
    </w:p>
    <w:p w14:paraId="64053238" w14:textId="77777777" w:rsidR="00DA0E45" w:rsidRPr="00535CDB" w:rsidRDefault="00DA0E45" w:rsidP="00DA0E45">
      <w:pPr>
        <w:spacing w:after="120"/>
        <w:jc w:val="both"/>
      </w:pPr>
      <w:r w:rsidRPr="00535CDB">
        <w:tab/>
      </w:r>
    </w:p>
    <w:p w14:paraId="366467CF" w14:textId="77777777" w:rsidR="00DA0E45" w:rsidRDefault="00DA0E45" w:rsidP="00DA0E45">
      <w:pPr>
        <w:pStyle w:val="Nagwek1"/>
        <w:rPr>
          <w:color w:val="000080"/>
          <w:sz w:val="24"/>
          <w:szCs w:val="24"/>
        </w:rPr>
      </w:pPr>
      <w:r w:rsidRPr="00535CDB">
        <w:rPr>
          <w:color w:val="000080"/>
          <w:sz w:val="24"/>
          <w:szCs w:val="24"/>
        </w:rPr>
        <w:t>10. przepisy związane</w:t>
      </w:r>
    </w:p>
    <w:p w14:paraId="44EF4565" w14:textId="77777777" w:rsidR="00DA0E45" w:rsidRPr="00535CDB" w:rsidRDefault="00DA0E45" w:rsidP="00DA0E45"/>
    <w:p w14:paraId="2A45FB53" w14:textId="77777777" w:rsidR="00DA0E45" w:rsidRPr="00535CDB" w:rsidRDefault="00DA0E45" w:rsidP="00DA0E45">
      <w:pPr>
        <w:pStyle w:val="Nagwek2"/>
        <w:rPr>
          <w:sz w:val="20"/>
        </w:rPr>
      </w:pPr>
      <w:r w:rsidRPr="00535CDB">
        <w:rPr>
          <w:sz w:val="20"/>
        </w:rPr>
        <w:t>Normy</w:t>
      </w:r>
    </w:p>
    <w:tbl>
      <w:tblPr>
        <w:tblW w:w="0" w:type="auto"/>
        <w:tblLayout w:type="fixed"/>
        <w:tblCellMar>
          <w:left w:w="70" w:type="dxa"/>
          <w:right w:w="70" w:type="dxa"/>
        </w:tblCellMar>
        <w:tblLook w:val="0000" w:firstRow="0" w:lastRow="0" w:firstColumn="0" w:lastColumn="0" w:noHBand="0" w:noVBand="0"/>
      </w:tblPr>
      <w:tblGrid>
        <w:gridCol w:w="496"/>
        <w:gridCol w:w="1701"/>
        <w:gridCol w:w="6255"/>
      </w:tblGrid>
      <w:tr w:rsidR="00DA0E45" w:rsidRPr="00535CDB" w14:paraId="3D4AA410" w14:textId="77777777" w:rsidTr="00342BA4">
        <w:tblPrEx>
          <w:tblCellMar>
            <w:top w:w="0" w:type="dxa"/>
            <w:bottom w:w="0" w:type="dxa"/>
          </w:tblCellMar>
        </w:tblPrEx>
        <w:tc>
          <w:tcPr>
            <w:tcW w:w="496" w:type="dxa"/>
          </w:tcPr>
          <w:p w14:paraId="59C76B81" w14:textId="77777777" w:rsidR="00DA0E45" w:rsidRPr="00535CDB" w:rsidRDefault="00DA0E45" w:rsidP="00342BA4">
            <w:pPr>
              <w:jc w:val="center"/>
            </w:pPr>
            <w:r w:rsidRPr="00535CDB">
              <w:t>1.</w:t>
            </w:r>
          </w:p>
        </w:tc>
        <w:tc>
          <w:tcPr>
            <w:tcW w:w="1701" w:type="dxa"/>
          </w:tcPr>
          <w:p w14:paraId="52741139" w14:textId="77777777" w:rsidR="00DA0E45" w:rsidRPr="00535CDB" w:rsidRDefault="00DA0E45" w:rsidP="00342BA4">
            <w:r w:rsidRPr="00535CDB">
              <w:t>PN-B-04481</w:t>
            </w:r>
          </w:p>
        </w:tc>
        <w:tc>
          <w:tcPr>
            <w:tcW w:w="6255" w:type="dxa"/>
          </w:tcPr>
          <w:p w14:paraId="49C59DFC" w14:textId="77777777" w:rsidR="00DA0E45" w:rsidRPr="00535CDB" w:rsidRDefault="00DA0E45" w:rsidP="00342BA4">
            <w:r w:rsidRPr="00535CDB">
              <w:t>Grunty budowlane. Badania próbek gruntu</w:t>
            </w:r>
          </w:p>
        </w:tc>
      </w:tr>
      <w:tr w:rsidR="00DA0E45" w:rsidRPr="00535CDB" w14:paraId="2BA3A5D3" w14:textId="77777777" w:rsidTr="00342BA4">
        <w:tblPrEx>
          <w:tblCellMar>
            <w:top w:w="0" w:type="dxa"/>
            <w:bottom w:w="0" w:type="dxa"/>
          </w:tblCellMar>
        </w:tblPrEx>
        <w:tc>
          <w:tcPr>
            <w:tcW w:w="496" w:type="dxa"/>
          </w:tcPr>
          <w:p w14:paraId="7384D9A5" w14:textId="77777777" w:rsidR="00DA0E45" w:rsidRPr="00535CDB" w:rsidRDefault="00DA0E45" w:rsidP="00342BA4">
            <w:pPr>
              <w:jc w:val="center"/>
            </w:pPr>
            <w:r w:rsidRPr="00535CDB">
              <w:t>2.</w:t>
            </w:r>
          </w:p>
        </w:tc>
        <w:tc>
          <w:tcPr>
            <w:tcW w:w="1701" w:type="dxa"/>
          </w:tcPr>
          <w:p w14:paraId="4A9E74FE" w14:textId="77777777" w:rsidR="00DA0E45" w:rsidRPr="00535CDB" w:rsidRDefault="00DA0E45" w:rsidP="00342BA4">
            <w:r w:rsidRPr="00535CDB">
              <w:t>PN-/B-06714-17</w:t>
            </w:r>
          </w:p>
        </w:tc>
        <w:tc>
          <w:tcPr>
            <w:tcW w:w="6255" w:type="dxa"/>
          </w:tcPr>
          <w:p w14:paraId="3BFB1D66" w14:textId="77777777" w:rsidR="00DA0E45" w:rsidRPr="00535CDB" w:rsidRDefault="00DA0E45" w:rsidP="00342BA4">
            <w:r w:rsidRPr="00535CDB">
              <w:t>Kruszywa mineralne. Badania. Oznaczanie wilgotności</w:t>
            </w:r>
          </w:p>
        </w:tc>
      </w:tr>
      <w:tr w:rsidR="00DA0E45" w:rsidRPr="00535CDB" w14:paraId="6958A2C4" w14:textId="77777777" w:rsidTr="00342BA4">
        <w:tblPrEx>
          <w:tblCellMar>
            <w:top w:w="0" w:type="dxa"/>
            <w:bottom w:w="0" w:type="dxa"/>
          </w:tblCellMar>
        </w:tblPrEx>
        <w:tc>
          <w:tcPr>
            <w:tcW w:w="496" w:type="dxa"/>
          </w:tcPr>
          <w:p w14:paraId="401D6C57" w14:textId="77777777" w:rsidR="00DA0E45" w:rsidRPr="00535CDB" w:rsidRDefault="00DA0E45" w:rsidP="00342BA4">
            <w:pPr>
              <w:jc w:val="center"/>
            </w:pPr>
            <w:r w:rsidRPr="00535CDB">
              <w:t>3.</w:t>
            </w:r>
          </w:p>
        </w:tc>
        <w:tc>
          <w:tcPr>
            <w:tcW w:w="1701" w:type="dxa"/>
          </w:tcPr>
          <w:p w14:paraId="43D21388" w14:textId="77777777" w:rsidR="00DA0E45" w:rsidRPr="00535CDB" w:rsidRDefault="00DA0E45" w:rsidP="00342BA4">
            <w:r w:rsidRPr="00535CDB">
              <w:t>BN-64/8931-02</w:t>
            </w:r>
          </w:p>
        </w:tc>
        <w:tc>
          <w:tcPr>
            <w:tcW w:w="6255" w:type="dxa"/>
          </w:tcPr>
          <w:p w14:paraId="6D441EA5" w14:textId="77777777" w:rsidR="00DA0E45" w:rsidRPr="00535CDB" w:rsidRDefault="00DA0E45" w:rsidP="00342BA4">
            <w:r w:rsidRPr="00535CDB">
              <w:t>Drogi samochodowe. Oznaczanie modułu odkształcenia nawierzchni podatnych i podłoża przez obciążenie płytą</w:t>
            </w:r>
          </w:p>
        </w:tc>
      </w:tr>
      <w:tr w:rsidR="00DA0E45" w:rsidRPr="00535CDB" w14:paraId="47D4023A" w14:textId="77777777" w:rsidTr="00342BA4">
        <w:tblPrEx>
          <w:tblCellMar>
            <w:top w:w="0" w:type="dxa"/>
            <w:bottom w:w="0" w:type="dxa"/>
          </w:tblCellMar>
        </w:tblPrEx>
        <w:tc>
          <w:tcPr>
            <w:tcW w:w="496" w:type="dxa"/>
          </w:tcPr>
          <w:p w14:paraId="086918BE" w14:textId="77777777" w:rsidR="00DA0E45" w:rsidRPr="00535CDB" w:rsidRDefault="00DA0E45" w:rsidP="00342BA4">
            <w:pPr>
              <w:jc w:val="center"/>
            </w:pPr>
            <w:r w:rsidRPr="00535CDB">
              <w:t>4.</w:t>
            </w:r>
          </w:p>
        </w:tc>
        <w:tc>
          <w:tcPr>
            <w:tcW w:w="1701" w:type="dxa"/>
          </w:tcPr>
          <w:p w14:paraId="42E6D4D7" w14:textId="77777777" w:rsidR="00DA0E45" w:rsidRPr="00535CDB" w:rsidRDefault="00DA0E45" w:rsidP="00342BA4">
            <w:r w:rsidRPr="00535CDB">
              <w:t>BN-68/8931-04</w:t>
            </w:r>
          </w:p>
        </w:tc>
        <w:tc>
          <w:tcPr>
            <w:tcW w:w="6255" w:type="dxa"/>
          </w:tcPr>
          <w:p w14:paraId="2C800F34" w14:textId="77777777" w:rsidR="00DA0E45" w:rsidRPr="00535CDB" w:rsidRDefault="00DA0E45" w:rsidP="00342BA4">
            <w:r w:rsidRPr="00535CDB">
              <w:t xml:space="preserve">Drogi samochodowe. Pomiar równości nawierzchni </w:t>
            </w:r>
            <w:proofErr w:type="spellStart"/>
            <w:r w:rsidRPr="00535CDB">
              <w:t>planografem</w:t>
            </w:r>
            <w:proofErr w:type="spellEnd"/>
            <w:r w:rsidRPr="00535CDB">
              <w:t xml:space="preserve"> i łatą</w:t>
            </w:r>
          </w:p>
        </w:tc>
      </w:tr>
      <w:tr w:rsidR="00DA0E45" w14:paraId="08967878" w14:textId="77777777" w:rsidTr="00342BA4">
        <w:tblPrEx>
          <w:tblCellMar>
            <w:top w:w="0" w:type="dxa"/>
            <w:bottom w:w="0" w:type="dxa"/>
          </w:tblCellMar>
        </w:tblPrEx>
        <w:tc>
          <w:tcPr>
            <w:tcW w:w="496" w:type="dxa"/>
          </w:tcPr>
          <w:p w14:paraId="2B6637B9" w14:textId="77777777" w:rsidR="00DA0E45" w:rsidRDefault="00DA0E45" w:rsidP="00342BA4">
            <w:pPr>
              <w:jc w:val="center"/>
            </w:pPr>
            <w:r>
              <w:t>5.</w:t>
            </w:r>
          </w:p>
        </w:tc>
        <w:tc>
          <w:tcPr>
            <w:tcW w:w="1701" w:type="dxa"/>
          </w:tcPr>
          <w:p w14:paraId="0B748715" w14:textId="77777777" w:rsidR="00DA0E45" w:rsidRDefault="00DA0E45" w:rsidP="00342BA4">
            <w:r>
              <w:t>BN-77/8931-12</w:t>
            </w:r>
          </w:p>
        </w:tc>
        <w:tc>
          <w:tcPr>
            <w:tcW w:w="6255" w:type="dxa"/>
          </w:tcPr>
          <w:p w14:paraId="106EE010" w14:textId="77777777" w:rsidR="00DA0E45" w:rsidRDefault="00DA0E45" w:rsidP="00342BA4">
            <w:r>
              <w:t>Oznaczanie wskaźnika zagęszczenia gruntu</w:t>
            </w:r>
          </w:p>
        </w:tc>
      </w:tr>
    </w:tbl>
    <w:p w14:paraId="0F983EFB" w14:textId="77777777" w:rsidR="00DA0E45" w:rsidRDefault="00DA0E45" w:rsidP="00DA0E45">
      <w:pPr>
        <w:sectPr w:rsidR="00DA0E45" w:rsidSect="00DA0E45">
          <w:headerReference w:type="default" r:id="rId4"/>
          <w:headerReference w:type="first" r:id="rId5"/>
          <w:pgSz w:w="11907" w:h="16840" w:code="9"/>
          <w:pgMar w:top="964" w:right="1134" w:bottom="1134" w:left="1134" w:header="1134" w:footer="1531" w:gutter="0"/>
          <w:cols w:space="708"/>
          <w:titlePg/>
        </w:sectPr>
      </w:pPr>
    </w:p>
    <w:p w14:paraId="5EB4DD2D" w14:textId="77777777" w:rsidR="00DA0E45" w:rsidRDefault="00DA0E45" w:rsidP="00DA0E45">
      <w:pPr>
        <w:overflowPunct w:val="0"/>
        <w:autoSpaceDE w:val="0"/>
        <w:autoSpaceDN w:val="0"/>
        <w:adjustRightInd w:val="0"/>
        <w:rPr>
          <w:b/>
          <w:sz w:val="28"/>
        </w:rPr>
      </w:pPr>
    </w:p>
    <w:p w14:paraId="5B95F7D0" w14:textId="77777777" w:rsidR="00DA0E45" w:rsidRDefault="00DA0E45" w:rsidP="00DA0E45">
      <w:pPr>
        <w:overflowPunct w:val="0"/>
        <w:autoSpaceDE w:val="0"/>
        <w:autoSpaceDN w:val="0"/>
        <w:adjustRightInd w:val="0"/>
        <w:jc w:val="center"/>
        <w:rPr>
          <w:b/>
          <w:sz w:val="28"/>
        </w:rPr>
      </w:pPr>
      <w:r>
        <w:rPr>
          <w:b/>
          <w:sz w:val="28"/>
        </w:rPr>
        <w:t>D - 04.04.04</w:t>
      </w:r>
    </w:p>
    <w:p w14:paraId="2350D90E" w14:textId="77777777" w:rsidR="00DA0E45" w:rsidRDefault="00DA0E45" w:rsidP="00DA0E45">
      <w:pPr>
        <w:overflowPunct w:val="0"/>
        <w:autoSpaceDE w:val="0"/>
        <w:autoSpaceDN w:val="0"/>
        <w:adjustRightInd w:val="0"/>
        <w:jc w:val="center"/>
        <w:rPr>
          <w:b/>
          <w:sz w:val="27"/>
        </w:rPr>
      </w:pPr>
      <w:r>
        <w:rPr>
          <w:b/>
          <w:sz w:val="27"/>
        </w:rPr>
        <w:t> </w:t>
      </w:r>
    </w:p>
    <w:p w14:paraId="6FA3B68A" w14:textId="77777777" w:rsidR="00DA0E45" w:rsidRDefault="00DA0E45" w:rsidP="00DA0E45">
      <w:pPr>
        <w:overflowPunct w:val="0"/>
        <w:autoSpaceDE w:val="0"/>
        <w:autoSpaceDN w:val="0"/>
        <w:adjustRightInd w:val="0"/>
        <w:jc w:val="center"/>
        <w:rPr>
          <w:b/>
          <w:sz w:val="27"/>
        </w:rPr>
      </w:pPr>
      <w:r>
        <w:rPr>
          <w:b/>
          <w:sz w:val="28"/>
        </w:rPr>
        <w:t>PODBUDOWA  Z  TŁUCZNIA  KAMIENNEGO</w:t>
      </w:r>
    </w:p>
    <w:p w14:paraId="769EBEC5" w14:textId="77777777" w:rsidR="00DA0E45" w:rsidRDefault="00DA0E45" w:rsidP="00DA0E45">
      <w:pPr>
        <w:overflowPunct w:val="0"/>
        <w:autoSpaceDE w:val="0"/>
        <w:autoSpaceDN w:val="0"/>
        <w:adjustRightInd w:val="0"/>
        <w:jc w:val="center"/>
        <w:rPr>
          <w:b/>
          <w:sz w:val="28"/>
        </w:rPr>
      </w:pPr>
      <w:bookmarkStart w:id="0" w:name="_Toc423398330"/>
      <w:bookmarkStart w:id="1" w:name="_Toc505404893"/>
    </w:p>
    <w:p w14:paraId="43098879" w14:textId="77777777" w:rsidR="00DA0E45" w:rsidRDefault="00DA0E45" w:rsidP="00DA0E45">
      <w:pPr>
        <w:overflowPunct w:val="0"/>
        <w:autoSpaceDE w:val="0"/>
        <w:autoSpaceDN w:val="0"/>
        <w:adjustRightInd w:val="0"/>
        <w:rPr>
          <w:b/>
          <w:sz w:val="28"/>
        </w:rPr>
      </w:pPr>
    </w:p>
    <w:p w14:paraId="5FC55C00" w14:textId="77777777" w:rsidR="00DA0E45" w:rsidRDefault="00DA0E45" w:rsidP="00DA0E45">
      <w:pPr>
        <w:overflowPunct w:val="0"/>
        <w:autoSpaceDE w:val="0"/>
        <w:autoSpaceDN w:val="0"/>
        <w:adjustRightInd w:val="0"/>
        <w:rPr>
          <w:b/>
          <w:sz w:val="28"/>
        </w:rPr>
      </w:pPr>
      <w:r>
        <w:rPr>
          <w:b/>
          <w:caps/>
          <w:kern w:val="28"/>
        </w:rPr>
        <w:t>1. WSTĘP</w:t>
      </w:r>
      <w:bookmarkEnd w:id="0"/>
      <w:bookmarkEnd w:id="1"/>
    </w:p>
    <w:p w14:paraId="3167683B" w14:textId="77777777" w:rsidR="00DA0E45" w:rsidRDefault="00DA0E45" w:rsidP="00DA0E45">
      <w:pPr>
        <w:keepNext/>
        <w:overflowPunct w:val="0"/>
        <w:autoSpaceDE w:val="0"/>
        <w:autoSpaceDN w:val="0"/>
        <w:adjustRightInd w:val="0"/>
        <w:spacing w:before="120" w:after="120"/>
        <w:jc w:val="both"/>
        <w:outlineLvl w:val="1"/>
        <w:rPr>
          <w:b/>
        </w:rPr>
      </w:pPr>
      <w:r>
        <w:rPr>
          <w:b/>
        </w:rPr>
        <w:t>1.1.Przedmiot SST</w:t>
      </w:r>
    </w:p>
    <w:p w14:paraId="67167F6A" w14:textId="77777777" w:rsidR="00DA0E45" w:rsidRDefault="00DA0E45" w:rsidP="00DA0E45">
      <w:pPr>
        <w:tabs>
          <w:tab w:val="left" w:pos="0"/>
        </w:tabs>
        <w:overflowPunct w:val="0"/>
        <w:autoSpaceDE w:val="0"/>
        <w:autoSpaceDN w:val="0"/>
        <w:adjustRightInd w:val="0"/>
        <w:jc w:val="both"/>
      </w:pPr>
      <w:r>
        <w:t>Przedmiotem niniejszej szczegółowej specyfikacji technicznej (SST) są wymagania dotyczące wykonania i odbioru robót związanych z wykonaniem podbudów z tłucznia kamiennego.</w:t>
      </w:r>
    </w:p>
    <w:p w14:paraId="6522F97F" w14:textId="77777777" w:rsidR="00DA0E45" w:rsidRDefault="00DA0E45" w:rsidP="00DA0E45">
      <w:pPr>
        <w:keepNext/>
        <w:overflowPunct w:val="0"/>
        <w:autoSpaceDE w:val="0"/>
        <w:autoSpaceDN w:val="0"/>
        <w:adjustRightInd w:val="0"/>
        <w:spacing w:before="120" w:after="120"/>
        <w:jc w:val="both"/>
        <w:outlineLvl w:val="1"/>
        <w:rPr>
          <w:b/>
        </w:rPr>
      </w:pPr>
      <w:r>
        <w:rPr>
          <w:b/>
        </w:rPr>
        <w:t>1.2. Zakres stosowania SST</w:t>
      </w:r>
    </w:p>
    <w:p w14:paraId="09CA5DDF" w14:textId="77777777" w:rsidR="00DA0E45" w:rsidRPr="00450E9F" w:rsidRDefault="00DA0E45" w:rsidP="00DA0E45">
      <w:pPr>
        <w:pStyle w:val="Podtytu"/>
        <w:jc w:val="left"/>
        <w:rPr>
          <w:rFonts w:ascii="Times New Roman" w:hAnsi="Times New Roman"/>
          <w:b/>
          <w:sz w:val="20"/>
        </w:rPr>
      </w:pPr>
      <w:r w:rsidRPr="00450E9F">
        <w:rPr>
          <w:rFonts w:ascii="Times New Roman" w:hAnsi="Times New Roman"/>
          <w:sz w:val="20"/>
        </w:rPr>
        <w:t>Szczegółowa specyfikacja techniczna (SST) stosowana jest jako dokument przetargowy i kontraktowy przy zlecaniu i realizacji robót na drogach powiatowych.</w:t>
      </w:r>
      <w:r w:rsidRPr="00DA0E45">
        <w:rPr>
          <w:rFonts w:ascii="Bookman Old Style" w:hAnsi="Bookman Old Style"/>
          <w:b/>
          <w:i/>
          <w:sz w:val="20"/>
          <w14:shadow w14:blurRad="50800" w14:dist="38100" w14:dir="2700000" w14:sx="100000" w14:sy="100000" w14:kx="0" w14:ky="0" w14:algn="tl">
            <w14:srgbClr w14:val="000000">
              <w14:alpha w14:val="60000"/>
            </w14:srgbClr>
          </w14:shadow>
        </w:rPr>
        <w:br/>
      </w:r>
    </w:p>
    <w:p w14:paraId="337FFA98" w14:textId="77777777" w:rsidR="00DA0E45" w:rsidRPr="002E798E" w:rsidRDefault="00DA0E45" w:rsidP="00DA0E45">
      <w:pPr>
        <w:tabs>
          <w:tab w:val="left" w:pos="0"/>
        </w:tabs>
        <w:overflowPunct w:val="0"/>
        <w:autoSpaceDE w:val="0"/>
        <w:autoSpaceDN w:val="0"/>
        <w:adjustRightInd w:val="0"/>
      </w:pPr>
      <w:r>
        <w:t xml:space="preserve"> </w:t>
      </w:r>
      <w:r>
        <w:rPr>
          <w:b/>
        </w:rPr>
        <w:t>1.3. Zakres robót objętych SST</w:t>
      </w:r>
    </w:p>
    <w:p w14:paraId="4FBD771A" w14:textId="77777777" w:rsidR="00DA0E45" w:rsidRDefault="00DA0E45" w:rsidP="00DA0E45">
      <w:pPr>
        <w:overflowPunct w:val="0"/>
        <w:autoSpaceDE w:val="0"/>
        <w:autoSpaceDN w:val="0"/>
        <w:adjustRightInd w:val="0"/>
        <w:jc w:val="both"/>
      </w:pPr>
      <w:r>
        <w:t>Ustalenia zawarte w niniejszej specyfikacji dotyczą zasad prowadzenia robót związanych z wykonywaniem podbudów z tłucznia kamiennego.</w:t>
      </w:r>
    </w:p>
    <w:p w14:paraId="328F1123" w14:textId="77777777" w:rsidR="00DA0E45" w:rsidRDefault="00DA0E45" w:rsidP="00DA0E45">
      <w:pPr>
        <w:overflowPunct w:val="0"/>
        <w:autoSpaceDE w:val="0"/>
        <w:autoSpaceDN w:val="0"/>
        <w:adjustRightInd w:val="0"/>
        <w:jc w:val="both"/>
      </w:pPr>
      <w:r>
        <w:t>Podbudowę z tłucznia kamiennego wykonuje się, zgodnie z ustaleniami podanymi w dokumentacji projektowej, jako:</w:t>
      </w:r>
    </w:p>
    <w:p w14:paraId="35914CBF" w14:textId="77777777" w:rsidR="00DA0E45" w:rsidRDefault="00DA0E45" w:rsidP="00DA0E45">
      <w:pPr>
        <w:overflowPunct w:val="0"/>
        <w:autoSpaceDE w:val="0"/>
        <w:autoSpaceDN w:val="0"/>
        <w:adjustRightInd w:val="0"/>
        <w:jc w:val="both"/>
      </w:pPr>
      <w:r>
        <w:tab/>
        <w:t>- podbudowę pomocniczą,</w:t>
      </w:r>
    </w:p>
    <w:p w14:paraId="223A1DD8" w14:textId="77777777" w:rsidR="00DA0E45" w:rsidRDefault="00DA0E45" w:rsidP="00DA0E45">
      <w:pPr>
        <w:overflowPunct w:val="0"/>
        <w:autoSpaceDE w:val="0"/>
        <w:autoSpaceDN w:val="0"/>
        <w:adjustRightInd w:val="0"/>
        <w:jc w:val="both"/>
      </w:pPr>
      <w:r>
        <w:tab/>
        <w:t>- podbudowę zasadniczą.</w:t>
      </w:r>
    </w:p>
    <w:p w14:paraId="2A97B4DF" w14:textId="77777777" w:rsidR="00DA0E45" w:rsidRDefault="00DA0E45" w:rsidP="00DA0E45">
      <w:pPr>
        <w:keepNext/>
        <w:overflowPunct w:val="0"/>
        <w:autoSpaceDE w:val="0"/>
        <w:autoSpaceDN w:val="0"/>
        <w:adjustRightInd w:val="0"/>
        <w:spacing w:before="120" w:after="120"/>
        <w:jc w:val="both"/>
        <w:outlineLvl w:val="1"/>
        <w:rPr>
          <w:b/>
        </w:rPr>
      </w:pPr>
      <w:r>
        <w:rPr>
          <w:b/>
        </w:rPr>
        <w:t>1.4. Określenia podstawowe</w:t>
      </w:r>
    </w:p>
    <w:p w14:paraId="19029AD8" w14:textId="77777777" w:rsidR="00DA0E45" w:rsidRDefault="00DA0E45" w:rsidP="00DA0E45">
      <w:pPr>
        <w:overflowPunct w:val="0"/>
        <w:autoSpaceDE w:val="0"/>
        <w:autoSpaceDN w:val="0"/>
        <w:adjustRightInd w:val="0"/>
        <w:jc w:val="both"/>
      </w:pPr>
      <w:r>
        <w:rPr>
          <w:b/>
        </w:rPr>
        <w:t xml:space="preserve">1.4.1. </w:t>
      </w:r>
      <w:r>
        <w:t>Podbudowa z tłucznia kamiennego - część konstrukcji nawierzchni składająca się z jednej lub więcej warstw nośnych z tłucznia i klińca kamiennego.</w:t>
      </w:r>
    </w:p>
    <w:p w14:paraId="13FAFD0E" w14:textId="77777777" w:rsidR="00DA0E45" w:rsidRDefault="00DA0E45" w:rsidP="00DA0E45">
      <w:pPr>
        <w:overflowPunct w:val="0"/>
        <w:autoSpaceDE w:val="0"/>
        <w:autoSpaceDN w:val="0"/>
        <w:adjustRightInd w:val="0"/>
        <w:spacing w:before="120"/>
        <w:jc w:val="both"/>
      </w:pPr>
      <w:r>
        <w:rPr>
          <w:b/>
        </w:rPr>
        <w:t xml:space="preserve">1.4.2. </w:t>
      </w:r>
      <w:r>
        <w:t xml:space="preserve">Pozostałe określenia są zgodne z obowiązującymi, odpowiednimi polskimi normami i z definicjami podanymi w SST D-M-00.00.00 „Wymagania ogólne” pkt 1.4. </w:t>
      </w:r>
    </w:p>
    <w:p w14:paraId="1ECAB87C" w14:textId="77777777" w:rsidR="00DA0E45" w:rsidRDefault="00DA0E45" w:rsidP="00DA0E45">
      <w:pPr>
        <w:keepNext/>
        <w:overflowPunct w:val="0"/>
        <w:autoSpaceDE w:val="0"/>
        <w:autoSpaceDN w:val="0"/>
        <w:adjustRightInd w:val="0"/>
        <w:spacing w:before="120" w:after="120"/>
        <w:jc w:val="both"/>
        <w:outlineLvl w:val="1"/>
        <w:rPr>
          <w:b/>
        </w:rPr>
      </w:pPr>
      <w:r>
        <w:rPr>
          <w:b/>
        </w:rPr>
        <w:t>1.5. Ogólne wymagania dotyczące robót</w:t>
      </w:r>
    </w:p>
    <w:p w14:paraId="621441F0" w14:textId="77777777" w:rsidR="00DA0E45" w:rsidRDefault="00DA0E45" w:rsidP="00DA0E45">
      <w:pPr>
        <w:overflowPunct w:val="0"/>
        <w:autoSpaceDE w:val="0"/>
        <w:autoSpaceDN w:val="0"/>
        <w:adjustRightInd w:val="0"/>
        <w:jc w:val="both"/>
      </w:pPr>
      <w:r>
        <w:t>Ogólne wymagania dotyczące robót podano w SST D-M-00.00.00 „Wymagania ogólne” pkt 1.5.</w:t>
      </w:r>
    </w:p>
    <w:p w14:paraId="3E328CAC" w14:textId="77777777" w:rsidR="00DA0E45" w:rsidRDefault="00DA0E45" w:rsidP="00DA0E45">
      <w:pPr>
        <w:overflowPunct w:val="0"/>
        <w:autoSpaceDE w:val="0"/>
        <w:autoSpaceDN w:val="0"/>
        <w:adjustRightInd w:val="0"/>
        <w:jc w:val="both"/>
      </w:pPr>
    </w:p>
    <w:p w14:paraId="344B7F52" w14:textId="77777777" w:rsidR="00DA0E45" w:rsidRDefault="00DA0E45" w:rsidP="00DA0E45">
      <w:pPr>
        <w:jc w:val="both"/>
        <w:rPr>
          <w:b/>
        </w:rPr>
      </w:pPr>
      <w:r>
        <w:rPr>
          <w:b/>
        </w:rPr>
        <w:t>1.6. Kody i nazwy robót wg Wspólnego Słownika Zamówień ( CPV )</w:t>
      </w:r>
    </w:p>
    <w:p w14:paraId="4F6048A7" w14:textId="77777777" w:rsidR="00DA0E45" w:rsidRDefault="00DA0E45" w:rsidP="00DA0E45">
      <w:pPr>
        <w:jc w:val="both"/>
        <w:rPr>
          <w:b/>
        </w:rPr>
      </w:pPr>
    </w:p>
    <w:p w14:paraId="3BCFFCAB" w14:textId="77777777" w:rsidR="00DA0E45" w:rsidRDefault="00DA0E45" w:rsidP="00DA0E45">
      <w:pPr>
        <w:jc w:val="both"/>
      </w:pPr>
      <w:r>
        <w:t>45233320-8 Fundamentowanie dróg</w:t>
      </w:r>
    </w:p>
    <w:p w14:paraId="351D0955"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2" w:name="_Toc423398331"/>
      <w:bookmarkStart w:id="3" w:name="_Toc505404894"/>
      <w:r>
        <w:rPr>
          <w:b/>
          <w:caps/>
          <w:kern w:val="28"/>
        </w:rPr>
        <w:t>2. materiały</w:t>
      </w:r>
      <w:bookmarkEnd w:id="2"/>
      <w:bookmarkEnd w:id="3"/>
    </w:p>
    <w:p w14:paraId="35FBDA38" w14:textId="77777777" w:rsidR="00DA0E45" w:rsidRDefault="00DA0E45" w:rsidP="00DA0E45">
      <w:pPr>
        <w:keepNext/>
        <w:overflowPunct w:val="0"/>
        <w:autoSpaceDE w:val="0"/>
        <w:autoSpaceDN w:val="0"/>
        <w:adjustRightInd w:val="0"/>
        <w:spacing w:before="120" w:after="120"/>
        <w:jc w:val="both"/>
        <w:outlineLvl w:val="1"/>
        <w:rPr>
          <w:b/>
        </w:rPr>
      </w:pPr>
      <w:r>
        <w:rPr>
          <w:b/>
        </w:rPr>
        <w:t>2.1. Ogólne wymagania dotyczące materiałów</w:t>
      </w:r>
    </w:p>
    <w:p w14:paraId="19EF761B" w14:textId="77777777" w:rsidR="00DA0E45" w:rsidRDefault="00DA0E45" w:rsidP="00DA0E45">
      <w:pPr>
        <w:overflowPunct w:val="0"/>
        <w:autoSpaceDE w:val="0"/>
        <w:autoSpaceDN w:val="0"/>
        <w:adjustRightInd w:val="0"/>
        <w:jc w:val="both"/>
      </w:pPr>
      <w:r>
        <w:t>Ogólne wymagania dotyczące materiałów, ich pozyskiwania i składowania podano w SST D-M-00.00.00 „Wymagania ogólne” pkt 2.</w:t>
      </w:r>
    </w:p>
    <w:p w14:paraId="1292A288" w14:textId="77777777" w:rsidR="00DA0E45" w:rsidRDefault="00DA0E45" w:rsidP="00DA0E45">
      <w:pPr>
        <w:keepNext/>
        <w:overflowPunct w:val="0"/>
        <w:autoSpaceDE w:val="0"/>
        <w:autoSpaceDN w:val="0"/>
        <w:adjustRightInd w:val="0"/>
        <w:spacing w:before="120" w:after="120"/>
        <w:jc w:val="both"/>
        <w:outlineLvl w:val="1"/>
        <w:rPr>
          <w:b/>
        </w:rPr>
      </w:pPr>
      <w:r>
        <w:rPr>
          <w:b/>
        </w:rPr>
        <w:t>2.2. Rodzaje materiałów</w:t>
      </w:r>
    </w:p>
    <w:p w14:paraId="1E720224" w14:textId="77777777" w:rsidR="00DA0E45" w:rsidRDefault="00DA0E45" w:rsidP="00DA0E45">
      <w:pPr>
        <w:overflowPunct w:val="0"/>
        <w:autoSpaceDE w:val="0"/>
        <w:autoSpaceDN w:val="0"/>
        <w:adjustRightInd w:val="0"/>
        <w:jc w:val="both"/>
      </w:pPr>
      <w:r>
        <w:t>Materiałami stosowanymi przy wykonywaniu podbudowy z tłucznia, wg PN-S-96023 [9], są:</w:t>
      </w:r>
    </w:p>
    <w:p w14:paraId="16C8E48A"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kruszywo łamane zwykłe: tłuczeń i kliniec, wg PN-B-11112 [8],</w:t>
      </w:r>
    </w:p>
    <w:p w14:paraId="33F44438"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woda do skropienia podczas wałowania i klinowania.</w:t>
      </w:r>
    </w:p>
    <w:p w14:paraId="3CE9FA20" w14:textId="77777777" w:rsidR="00DA0E45" w:rsidRDefault="00DA0E45" w:rsidP="00DA0E45">
      <w:pPr>
        <w:keepNext/>
        <w:overflowPunct w:val="0"/>
        <w:autoSpaceDE w:val="0"/>
        <w:autoSpaceDN w:val="0"/>
        <w:adjustRightInd w:val="0"/>
        <w:spacing w:before="120" w:after="120"/>
        <w:jc w:val="both"/>
        <w:outlineLvl w:val="1"/>
        <w:rPr>
          <w:b/>
        </w:rPr>
      </w:pPr>
      <w:r>
        <w:rPr>
          <w:b/>
        </w:rPr>
        <w:t>2.3. Wymagania dla kruszyw</w:t>
      </w:r>
    </w:p>
    <w:p w14:paraId="772D7909" w14:textId="77777777" w:rsidR="00DA0E45" w:rsidRDefault="00DA0E45" w:rsidP="00DA0E45">
      <w:pPr>
        <w:overflowPunct w:val="0"/>
        <w:autoSpaceDE w:val="0"/>
        <w:autoSpaceDN w:val="0"/>
        <w:adjustRightInd w:val="0"/>
        <w:jc w:val="both"/>
      </w:pPr>
      <w:r>
        <w:t>Do wykonania podbudowy należy użyć następujące rodzaje kruszywa, według PN-B-11112 [8]:</w:t>
      </w:r>
    </w:p>
    <w:p w14:paraId="26893F30"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 xml:space="preserve">tłuczeń od </w:t>
      </w:r>
      <w:smartTag w:uri="urn:schemas-microsoft-com:office:smarttags" w:element="metricconverter">
        <w:smartTagPr>
          <w:attr w:name="ProductID" w:val="31,5 mm"/>
        </w:smartTagPr>
        <w:r>
          <w:t>31,5 mm</w:t>
        </w:r>
      </w:smartTag>
      <w:r>
        <w:t xml:space="preserve"> do </w:t>
      </w:r>
      <w:smartTag w:uri="urn:schemas-microsoft-com:office:smarttags" w:element="metricconverter">
        <w:smartTagPr>
          <w:attr w:name="ProductID" w:val="63 mm"/>
        </w:smartTagPr>
        <w:r>
          <w:t>63 mm</w:t>
        </w:r>
      </w:smartTag>
      <w:r>
        <w:t>,</w:t>
      </w:r>
    </w:p>
    <w:p w14:paraId="7A49E415"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 xml:space="preserve">kliniec od </w:t>
      </w:r>
      <w:smartTag w:uri="urn:schemas-microsoft-com:office:smarttags" w:element="metricconverter">
        <w:smartTagPr>
          <w:attr w:name="ProductID" w:val="20 mm"/>
        </w:smartTagPr>
        <w:r>
          <w:t>20 mm</w:t>
        </w:r>
      </w:smartTag>
      <w:r>
        <w:t xml:space="preserve"> do </w:t>
      </w:r>
      <w:smartTag w:uri="urn:schemas-microsoft-com:office:smarttags" w:element="metricconverter">
        <w:smartTagPr>
          <w:attr w:name="ProductID" w:val="31,5 mm"/>
        </w:smartTagPr>
        <w:r>
          <w:t>31,5 mm</w:t>
        </w:r>
      </w:smartTag>
      <w:r>
        <w:t>,</w:t>
      </w:r>
    </w:p>
    <w:p w14:paraId="7FBFFD0D"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 xml:space="preserve">kruszywo do klinowania - kliniec od </w:t>
      </w:r>
      <w:smartTag w:uri="urn:schemas-microsoft-com:office:smarttags" w:element="metricconverter">
        <w:smartTagPr>
          <w:attr w:name="ProductID" w:val="4 mm"/>
        </w:smartTagPr>
        <w:r>
          <w:t>4 mm</w:t>
        </w:r>
      </w:smartTag>
      <w:r>
        <w:t xml:space="preserve"> do </w:t>
      </w:r>
      <w:smartTag w:uri="urn:schemas-microsoft-com:office:smarttags" w:element="metricconverter">
        <w:smartTagPr>
          <w:attr w:name="ProductID" w:val="20 mm"/>
        </w:smartTagPr>
        <w:r>
          <w:t>20 mm</w:t>
        </w:r>
      </w:smartTag>
      <w:r>
        <w:t>.</w:t>
      </w:r>
    </w:p>
    <w:p w14:paraId="035BCCA5" w14:textId="77777777" w:rsidR="00DA0E45" w:rsidRDefault="00DA0E45" w:rsidP="00DA0E45">
      <w:pPr>
        <w:overflowPunct w:val="0"/>
        <w:autoSpaceDE w:val="0"/>
        <w:autoSpaceDN w:val="0"/>
        <w:adjustRightInd w:val="0"/>
        <w:jc w:val="both"/>
      </w:pPr>
      <w:r>
        <w:t>Inżynier może dopuścić do wykonania podbudowy inne rodzaje kruszywa, wybrane spośród wymienionych w PN-S-96023 [9], dla których wymagania zostaną określone w SST.</w:t>
      </w:r>
    </w:p>
    <w:p w14:paraId="73C67F39" w14:textId="77777777" w:rsidR="00DA0E45" w:rsidRDefault="00DA0E45" w:rsidP="00DA0E45">
      <w:pPr>
        <w:overflowPunct w:val="0"/>
        <w:autoSpaceDE w:val="0"/>
        <w:autoSpaceDN w:val="0"/>
        <w:adjustRightInd w:val="0"/>
        <w:jc w:val="both"/>
      </w:pPr>
      <w:r>
        <w:t>Jakość kruszywa powinna być zgodna z wymaganiami normy PN-B-11112 [8], określonymi dla:</w:t>
      </w:r>
    </w:p>
    <w:p w14:paraId="210BB122"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klasy co najmniej II     - dla podbudowy zasadniczej,</w:t>
      </w:r>
    </w:p>
    <w:p w14:paraId="58972FE7" w14:textId="77777777" w:rsidR="00DA0E45" w:rsidRDefault="00DA0E45" w:rsidP="00DA0E45">
      <w:pPr>
        <w:overflowPunct w:val="0"/>
        <w:autoSpaceDE w:val="0"/>
        <w:autoSpaceDN w:val="0"/>
        <w:adjustRightInd w:val="0"/>
        <w:jc w:val="both"/>
      </w:pPr>
      <w:r>
        <w:rPr>
          <w:rFonts w:ascii="Symbol" w:hAnsi="Symbol"/>
        </w:rPr>
        <w:lastRenderedPageBreak/>
        <w:t></w:t>
      </w:r>
      <w:r>
        <w:rPr>
          <w:sz w:val="14"/>
        </w:rPr>
        <w:t xml:space="preserve">      </w:t>
      </w:r>
      <w:r>
        <w:t>klasy II i III</w:t>
      </w:r>
      <w:r>
        <w:tab/>
      </w:r>
      <w:r>
        <w:tab/>
        <w:t>- dla podbudowy pomocniczej.</w:t>
      </w:r>
    </w:p>
    <w:p w14:paraId="3B15A6DB" w14:textId="77777777" w:rsidR="00DA0E45" w:rsidRDefault="00DA0E45" w:rsidP="00DA0E45">
      <w:pPr>
        <w:overflowPunct w:val="0"/>
        <w:autoSpaceDE w:val="0"/>
        <w:autoSpaceDN w:val="0"/>
        <w:adjustRightInd w:val="0"/>
        <w:jc w:val="both"/>
      </w:pPr>
      <w:r>
        <w:t>Do jednowarstwowych podbudów lub podbudowy zasadniczej należy stosować kruszywo gatunku co najmniej 2.</w:t>
      </w:r>
    </w:p>
    <w:p w14:paraId="48AEF5A7" w14:textId="77777777" w:rsidR="00DA0E45" w:rsidRDefault="00DA0E45" w:rsidP="00DA0E45">
      <w:pPr>
        <w:overflowPunct w:val="0"/>
        <w:autoSpaceDE w:val="0"/>
        <w:autoSpaceDN w:val="0"/>
        <w:adjustRightInd w:val="0"/>
        <w:jc w:val="both"/>
      </w:pPr>
      <w:r>
        <w:t>Wymagania dla kruszywa przedstawiono w tablicach 1 i 2 niniejszej specyfikacji</w:t>
      </w:r>
    </w:p>
    <w:p w14:paraId="7B12D631" w14:textId="77777777" w:rsidR="00DA0E45" w:rsidRDefault="00DA0E45" w:rsidP="00DA0E45">
      <w:pPr>
        <w:overflowPunct w:val="0"/>
        <w:autoSpaceDE w:val="0"/>
        <w:autoSpaceDN w:val="0"/>
        <w:adjustRightInd w:val="0"/>
        <w:jc w:val="both"/>
      </w:pPr>
    </w:p>
    <w:p w14:paraId="1CAFFD6E" w14:textId="77777777" w:rsidR="00DA0E45" w:rsidRDefault="00DA0E45" w:rsidP="00DA0E45">
      <w:pPr>
        <w:overflowPunct w:val="0"/>
        <w:autoSpaceDE w:val="0"/>
        <w:autoSpaceDN w:val="0"/>
        <w:adjustRightInd w:val="0"/>
        <w:spacing w:before="240" w:after="120"/>
        <w:jc w:val="both"/>
        <w:rPr>
          <w:i/>
        </w:rPr>
      </w:pPr>
      <w:r>
        <w:rPr>
          <w:i/>
        </w:rPr>
        <w:t>Tablica 1. Wymagania dla tłucznia i klińca, wg PN-B-11112 [8]</w:t>
      </w:r>
    </w:p>
    <w:tbl>
      <w:tblPr>
        <w:tblW w:w="0" w:type="auto"/>
        <w:tblInd w:w="106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5103"/>
        <w:gridCol w:w="955"/>
        <w:gridCol w:w="955"/>
      </w:tblGrid>
      <w:tr w:rsidR="00DA0E45" w14:paraId="35D244FE" w14:textId="77777777" w:rsidTr="00342BA4">
        <w:tblPrEx>
          <w:tblCellMar>
            <w:top w:w="0" w:type="dxa"/>
            <w:bottom w:w="0" w:type="dxa"/>
          </w:tblCellMar>
        </w:tblPrEx>
        <w:tc>
          <w:tcPr>
            <w:tcW w:w="496" w:type="dxa"/>
            <w:tcBorders>
              <w:top w:val="single" w:sz="6" w:space="0" w:color="auto"/>
              <w:left w:val="single" w:sz="6" w:space="0" w:color="auto"/>
              <w:bottom w:val="double" w:sz="6" w:space="0" w:color="auto"/>
              <w:right w:val="single" w:sz="6" w:space="0" w:color="auto"/>
            </w:tcBorders>
          </w:tcPr>
          <w:p w14:paraId="269A2088" w14:textId="77777777" w:rsidR="00DA0E45" w:rsidRDefault="00DA0E45" w:rsidP="00342BA4">
            <w:pPr>
              <w:overflowPunct w:val="0"/>
              <w:autoSpaceDE w:val="0"/>
              <w:autoSpaceDN w:val="0"/>
              <w:adjustRightInd w:val="0"/>
              <w:spacing w:before="120" w:after="120"/>
              <w:jc w:val="center"/>
            </w:pPr>
            <w:r>
              <w:t>Lp.</w:t>
            </w:r>
          </w:p>
        </w:tc>
        <w:tc>
          <w:tcPr>
            <w:tcW w:w="5103" w:type="dxa"/>
            <w:tcBorders>
              <w:top w:val="single" w:sz="6" w:space="0" w:color="auto"/>
              <w:left w:val="single" w:sz="6" w:space="0" w:color="auto"/>
              <w:bottom w:val="double" w:sz="6" w:space="0" w:color="auto"/>
              <w:right w:val="single" w:sz="6" w:space="0" w:color="auto"/>
            </w:tcBorders>
          </w:tcPr>
          <w:p w14:paraId="01DEC465" w14:textId="77777777" w:rsidR="00DA0E45" w:rsidRDefault="00DA0E45" w:rsidP="00342BA4">
            <w:pPr>
              <w:overflowPunct w:val="0"/>
              <w:autoSpaceDE w:val="0"/>
              <w:autoSpaceDN w:val="0"/>
              <w:adjustRightInd w:val="0"/>
              <w:spacing w:before="120" w:after="120"/>
              <w:jc w:val="center"/>
            </w:pPr>
            <w:r>
              <w:t>Właściwości</w:t>
            </w:r>
          </w:p>
        </w:tc>
        <w:tc>
          <w:tcPr>
            <w:tcW w:w="955" w:type="dxa"/>
            <w:tcBorders>
              <w:top w:val="single" w:sz="6" w:space="0" w:color="auto"/>
              <w:left w:val="single" w:sz="6" w:space="0" w:color="auto"/>
              <w:bottom w:val="double" w:sz="6" w:space="0" w:color="auto"/>
              <w:right w:val="single" w:sz="6" w:space="0" w:color="auto"/>
            </w:tcBorders>
          </w:tcPr>
          <w:p w14:paraId="5A211900" w14:textId="77777777" w:rsidR="00DA0E45" w:rsidRDefault="00DA0E45" w:rsidP="00342BA4">
            <w:pPr>
              <w:overflowPunct w:val="0"/>
              <w:autoSpaceDE w:val="0"/>
              <w:autoSpaceDN w:val="0"/>
              <w:adjustRightInd w:val="0"/>
              <w:spacing w:before="120" w:after="120"/>
              <w:jc w:val="center"/>
            </w:pPr>
            <w:r>
              <w:t>Klasa II</w:t>
            </w:r>
          </w:p>
        </w:tc>
        <w:tc>
          <w:tcPr>
            <w:tcW w:w="955" w:type="dxa"/>
            <w:tcBorders>
              <w:top w:val="single" w:sz="6" w:space="0" w:color="auto"/>
              <w:left w:val="single" w:sz="6" w:space="0" w:color="auto"/>
              <w:bottom w:val="double" w:sz="6" w:space="0" w:color="auto"/>
              <w:right w:val="single" w:sz="6" w:space="0" w:color="auto"/>
            </w:tcBorders>
          </w:tcPr>
          <w:p w14:paraId="42C90BB0" w14:textId="77777777" w:rsidR="00DA0E45" w:rsidRDefault="00DA0E45" w:rsidP="00342BA4">
            <w:pPr>
              <w:overflowPunct w:val="0"/>
              <w:autoSpaceDE w:val="0"/>
              <w:autoSpaceDN w:val="0"/>
              <w:adjustRightInd w:val="0"/>
              <w:spacing w:before="120" w:after="120"/>
              <w:jc w:val="center"/>
            </w:pPr>
            <w:r>
              <w:t>Klasa III</w:t>
            </w:r>
          </w:p>
        </w:tc>
      </w:tr>
      <w:tr w:rsidR="00DA0E45" w14:paraId="700CCF24" w14:textId="77777777" w:rsidTr="00342BA4">
        <w:tblPrEx>
          <w:tblCellMar>
            <w:top w:w="0" w:type="dxa"/>
            <w:bottom w:w="0" w:type="dxa"/>
          </w:tblCellMar>
        </w:tblPrEx>
        <w:tc>
          <w:tcPr>
            <w:tcW w:w="496" w:type="dxa"/>
            <w:tcBorders>
              <w:top w:val="nil"/>
              <w:left w:val="single" w:sz="6" w:space="0" w:color="auto"/>
              <w:bottom w:val="single" w:sz="6" w:space="0" w:color="auto"/>
              <w:right w:val="single" w:sz="6" w:space="0" w:color="auto"/>
            </w:tcBorders>
          </w:tcPr>
          <w:p w14:paraId="5EAD86E2" w14:textId="77777777" w:rsidR="00DA0E45" w:rsidRDefault="00DA0E45" w:rsidP="00342BA4">
            <w:pPr>
              <w:overflowPunct w:val="0"/>
              <w:autoSpaceDE w:val="0"/>
              <w:autoSpaceDN w:val="0"/>
              <w:adjustRightInd w:val="0"/>
              <w:jc w:val="center"/>
            </w:pPr>
            <w:r>
              <w:t>1</w:t>
            </w:r>
          </w:p>
        </w:tc>
        <w:tc>
          <w:tcPr>
            <w:tcW w:w="5103" w:type="dxa"/>
            <w:tcBorders>
              <w:top w:val="nil"/>
              <w:left w:val="single" w:sz="6" w:space="0" w:color="auto"/>
              <w:bottom w:val="single" w:sz="6" w:space="0" w:color="auto"/>
              <w:right w:val="single" w:sz="6" w:space="0" w:color="auto"/>
            </w:tcBorders>
          </w:tcPr>
          <w:p w14:paraId="421C784C" w14:textId="77777777" w:rsidR="00DA0E45" w:rsidRDefault="00DA0E45" w:rsidP="00342BA4">
            <w:pPr>
              <w:overflowPunct w:val="0"/>
              <w:autoSpaceDE w:val="0"/>
              <w:autoSpaceDN w:val="0"/>
              <w:adjustRightInd w:val="0"/>
              <w:jc w:val="both"/>
            </w:pPr>
            <w:r>
              <w:t>Ścieralność w bębnie Los Angeles, wg PN-B-06714-42 [7]:</w:t>
            </w:r>
          </w:p>
          <w:p w14:paraId="593FE089" w14:textId="77777777" w:rsidR="00DA0E45" w:rsidRDefault="00DA0E45" w:rsidP="00342BA4">
            <w:pPr>
              <w:overflowPunct w:val="0"/>
              <w:autoSpaceDE w:val="0"/>
              <w:autoSpaceDN w:val="0"/>
              <w:adjustRightInd w:val="0"/>
              <w:jc w:val="both"/>
            </w:pPr>
            <w:r>
              <w:t>a) po pełnej liczbie obrotów, % ubytku masy, nie więcej niż:</w:t>
            </w:r>
          </w:p>
          <w:p w14:paraId="0295DB50" w14:textId="77777777" w:rsidR="00DA0E45" w:rsidRDefault="00DA0E45" w:rsidP="00342BA4">
            <w:pPr>
              <w:overflowPunct w:val="0"/>
              <w:autoSpaceDE w:val="0"/>
              <w:autoSpaceDN w:val="0"/>
              <w:adjustRightInd w:val="0"/>
              <w:jc w:val="both"/>
            </w:pPr>
            <w:r>
              <w:t xml:space="preserve">    - w tłuczniu</w:t>
            </w:r>
          </w:p>
          <w:p w14:paraId="4A0B42FC" w14:textId="77777777" w:rsidR="00DA0E45" w:rsidRDefault="00DA0E45" w:rsidP="00342BA4">
            <w:pPr>
              <w:overflowPunct w:val="0"/>
              <w:autoSpaceDE w:val="0"/>
              <w:autoSpaceDN w:val="0"/>
              <w:adjustRightInd w:val="0"/>
              <w:jc w:val="both"/>
            </w:pPr>
            <w:r>
              <w:t xml:space="preserve">    - w klińcu</w:t>
            </w:r>
          </w:p>
          <w:p w14:paraId="2D159CDC" w14:textId="77777777" w:rsidR="00DA0E45" w:rsidRDefault="00DA0E45" w:rsidP="00342BA4">
            <w:pPr>
              <w:overflowPunct w:val="0"/>
              <w:autoSpaceDE w:val="0"/>
              <w:autoSpaceDN w:val="0"/>
              <w:adjustRightInd w:val="0"/>
              <w:jc w:val="both"/>
            </w:pPr>
            <w:r>
              <w:t>b) po 1/5 pełnej liczby obrotów, % ubytku masy w stosunku</w:t>
            </w:r>
          </w:p>
          <w:p w14:paraId="312F7033" w14:textId="77777777" w:rsidR="00DA0E45" w:rsidRDefault="00DA0E45" w:rsidP="00342BA4">
            <w:pPr>
              <w:overflowPunct w:val="0"/>
              <w:autoSpaceDE w:val="0"/>
              <w:autoSpaceDN w:val="0"/>
              <w:adjustRightInd w:val="0"/>
              <w:jc w:val="both"/>
            </w:pPr>
            <w:r>
              <w:t xml:space="preserve">    do ubytku masy po pełnej liczbie obrotów, nie więcej niż:  </w:t>
            </w:r>
          </w:p>
        </w:tc>
        <w:tc>
          <w:tcPr>
            <w:tcW w:w="955" w:type="dxa"/>
            <w:tcBorders>
              <w:top w:val="nil"/>
              <w:left w:val="single" w:sz="6" w:space="0" w:color="auto"/>
              <w:bottom w:val="single" w:sz="6" w:space="0" w:color="auto"/>
              <w:right w:val="single" w:sz="6" w:space="0" w:color="auto"/>
            </w:tcBorders>
          </w:tcPr>
          <w:p w14:paraId="03F02AEC" w14:textId="77777777" w:rsidR="00DA0E45" w:rsidRDefault="00DA0E45" w:rsidP="00342BA4">
            <w:pPr>
              <w:overflowPunct w:val="0"/>
              <w:autoSpaceDE w:val="0"/>
              <w:autoSpaceDN w:val="0"/>
              <w:adjustRightInd w:val="0"/>
              <w:jc w:val="center"/>
            </w:pPr>
            <w:r>
              <w:t> </w:t>
            </w:r>
          </w:p>
          <w:p w14:paraId="2FAB63C5" w14:textId="77777777" w:rsidR="00DA0E45" w:rsidRDefault="00DA0E45" w:rsidP="00342BA4">
            <w:pPr>
              <w:overflowPunct w:val="0"/>
              <w:autoSpaceDE w:val="0"/>
              <w:autoSpaceDN w:val="0"/>
              <w:adjustRightInd w:val="0"/>
              <w:jc w:val="center"/>
            </w:pPr>
            <w:r>
              <w:t> </w:t>
            </w:r>
          </w:p>
          <w:p w14:paraId="5D1F53B5" w14:textId="77777777" w:rsidR="00DA0E45" w:rsidRDefault="00DA0E45" w:rsidP="00342BA4">
            <w:pPr>
              <w:overflowPunct w:val="0"/>
              <w:autoSpaceDE w:val="0"/>
              <w:autoSpaceDN w:val="0"/>
              <w:adjustRightInd w:val="0"/>
              <w:jc w:val="center"/>
            </w:pPr>
            <w:r>
              <w:t>35</w:t>
            </w:r>
          </w:p>
          <w:p w14:paraId="15DB2A1D" w14:textId="77777777" w:rsidR="00DA0E45" w:rsidRDefault="00DA0E45" w:rsidP="00342BA4">
            <w:pPr>
              <w:overflowPunct w:val="0"/>
              <w:autoSpaceDE w:val="0"/>
              <w:autoSpaceDN w:val="0"/>
              <w:adjustRightInd w:val="0"/>
              <w:jc w:val="center"/>
            </w:pPr>
            <w:r>
              <w:t>40</w:t>
            </w:r>
          </w:p>
          <w:p w14:paraId="13EB4878" w14:textId="77777777" w:rsidR="00DA0E45" w:rsidRDefault="00DA0E45" w:rsidP="00342BA4">
            <w:pPr>
              <w:overflowPunct w:val="0"/>
              <w:autoSpaceDE w:val="0"/>
              <w:autoSpaceDN w:val="0"/>
              <w:adjustRightInd w:val="0"/>
              <w:jc w:val="center"/>
            </w:pPr>
            <w:r>
              <w:t> </w:t>
            </w:r>
          </w:p>
          <w:p w14:paraId="4447E455" w14:textId="77777777" w:rsidR="00DA0E45" w:rsidRDefault="00DA0E45" w:rsidP="00342BA4">
            <w:pPr>
              <w:overflowPunct w:val="0"/>
              <w:autoSpaceDE w:val="0"/>
              <w:autoSpaceDN w:val="0"/>
              <w:adjustRightInd w:val="0"/>
              <w:jc w:val="center"/>
            </w:pPr>
            <w:r>
              <w:t>30</w:t>
            </w:r>
          </w:p>
        </w:tc>
        <w:tc>
          <w:tcPr>
            <w:tcW w:w="955" w:type="dxa"/>
            <w:tcBorders>
              <w:top w:val="nil"/>
              <w:left w:val="single" w:sz="6" w:space="0" w:color="auto"/>
              <w:bottom w:val="single" w:sz="6" w:space="0" w:color="auto"/>
              <w:right w:val="single" w:sz="6" w:space="0" w:color="auto"/>
            </w:tcBorders>
          </w:tcPr>
          <w:p w14:paraId="150F6853" w14:textId="77777777" w:rsidR="00DA0E45" w:rsidRDefault="00DA0E45" w:rsidP="00342BA4">
            <w:pPr>
              <w:overflowPunct w:val="0"/>
              <w:autoSpaceDE w:val="0"/>
              <w:autoSpaceDN w:val="0"/>
              <w:adjustRightInd w:val="0"/>
              <w:jc w:val="center"/>
            </w:pPr>
            <w:r>
              <w:t> </w:t>
            </w:r>
          </w:p>
          <w:p w14:paraId="0B21EAA8" w14:textId="77777777" w:rsidR="00DA0E45" w:rsidRDefault="00DA0E45" w:rsidP="00342BA4">
            <w:pPr>
              <w:overflowPunct w:val="0"/>
              <w:autoSpaceDE w:val="0"/>
              <w:autoSpaceDN w:val="0"/>
              <w:adjustRightInd w:val="0"/>
              <w:jc w:val="center"/>
            </w:pPr>
            <w:r>
              <w:t> </w:t>
            </w:r>
          </w:p>
          <w:p w14:paraId="2F33F2D8" w14:textId="77777777" w:rsidR="00DA0E45" w:rsidRDefault="00DA0E45" w:rsidP="00342BA4">
            <w:pPr>
              <w:overflowPunct w:val="0"/>
              <w:autoSpaceDE w:val="0"/>
              <w:autoSpaceDN w:val="0"/>
              <w:adjustRightInd w:val="0"/>
              <w:jc w:val="center"/>
            </w:pPr>
            <w:r>
              <w:t>50</w:t>
            </w:r>
          </w:p>
          <w:p w14:paraId="76F80AB4" w14:textId="77777777" w:rsidR="00DA0E45" w:rsidRDefault="00DA0E45" w:rsidP="00342BA4">
            <w:pPr>
              <w:overflowPunct w:val="0"/>
              <w:autoSpaceDE w:val="0"/>
              <w:autoSpaceDN w:val="0"/>
              <w:adjustRightInd w:val="0"/>
              <w:jc w:val="center"/>
            </w:pPr>
            <w:r>
              <w:t>50</w:t>
            </w:r>
          </w:p>
          <w:p w14:paraId="24BF8B1C" w14:textId="77777777" w:rsidR="00DA0E45" w:rsidRDefault="00DA0E45" w:rsidP="00342BA4">
            <w:pPr>
              <w:overflowPunct w:val="0"/>
              <w:autoSpaceDE w:val="0"/>
              <w:autoSpaceDN w:val="0"/>
              <w:adjustRightInd w:val="0"/>
              <w:jc w:val="center"/>
            </w:pPr>
            <w:r>
              <w:t> </w:t>
            </w:r>
          </w:p>
          <w:p w14:paraId="6348846A" w14:textId="77777777" w:rsidR="00DA0E45" w:rsidRDefault="00DA0E45" w:rsidP="00342BA4">
            <w:pPr>
              <w:overflowPunct w:val="0"/>
              <w:autoSpaceDE w:val="0"/>
              <w:autoSpaceDN w:val="0"/>
              <w:adjustRightInd w:val="0"/>
              <w:jc w:val="center"/>
            </w:pPr>
            <w:r>
              <w:t>35</w:t>
            </w:r>
          </w:p>
        </w:tc>
      </w:tr>
      <w:tr w:rsidR="00DA0E45" w14:paraId="26D7752A" w14:textId="77777777" w:rsidTr="00342BA4">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14:paraId="367382DA" w14:textId="77777777" w:rsidR="00DA0E45" w:rsidRDefault="00DA0E45" w:rsidP="00342BA4">
            <w:pPr>
              <w:overflowPunct w:val="0"/>
              <w:autoSpaceDE w:val="0"/>
              <w:autoSpaceDN w:val="0"/>
              <w:adjustRightInd w:val="0"/>
              <w:jc w:val="center"/>
            </w:pPr>
            <w:r>
              <w:t>2</w:t>
            </w:r>
          </w:p>
        </w:tc>
        <w:tc>
          <w:tcPr>
            <w:tcW w:w="5103" w:type="dxa"/>
            <w:tcBorders>
              <w:top w:val="single" w:sz="6" w:space="0" w:color="auto"/>
              <w:left w:val="single" w:sz="6" w:space="0" w:color="auto"/>
              <w:bottom w:val="single" w:sz="6" w:space="0" w:color="auto"/>
              <w:right w:val="single" w:sz="6" w:space="0" w:color="auto"/>
            </w:tcBorders>
          </w:tcPr>
          <w:p w14:paraId="086FB8E5" w14:textId="77777777" w:rsidR="00DA0E45" w:rsidRDefault="00DA0E45" w:rsidP="00342BA4">
            <w:pPr>
              <w:overflowPunct w:val="0"/>
              <w:autoSpaceDE w:val="0"/>
              <w:autoSpaceDN w:val="0"/>
              <w:adjustRightInd w:val="0"/>
              <w:jc w:val="both"/>
            </w:pPr>
            <w:r>
              <w:t>Nasiąkliwość, wg PN-B-06714-18 [4], % m/m, nie więcej niż:</w:t>
            </w:r>
          </w:p>
          <w:p w14:paraId="4114D88C" w14:textId="77777777" w:rsidR="00DA0E45" w:rsidRDefault="00DA0E45" w:rsidP="00342BA4">
            <w:pPr>
              <w:overflowPunct w:val="0"/>
              <w:autoSpaceDE w:val="0"/>
              <w:autoSpaceDN w:val="0"/>
              <w:adjustRightInd w:val="0"/>
              <w:jc w:val="both"/>
            </w:pPr>
            <w:r>
              <w:t>a) dla kruszyw ze skał magmowych i przeobrażonych</w:t>
            </w:r>
          </w:p>
          <w:p w14:paraId="57C444E8" w14:textId="77777777" w:rsidR="00DA0E45" w:rsidRDefault="00DA0E45" w:rsidP="00342BA4">
            <w:pPr>
              <w:overflowPunct w:val="0"/>
              <w:autoSpaceDE w:val="0"/>
              <w:autoSpaceDN w:val="0"/>
              <w:adjustRightInd w:val="0"/>
              <w:jc w:val="both"/>
            </w:pPr>
            <w:r>
              <w:t>b) dla kruszyw ze skał osadowych</w:t>
            </w:r>
          </w:p>
        </w:tc>
        <w:tc>
          <w:tcPr>
            <w:tcW w:w="955" w:type="dxa"/>
            <w:tcBorders>
              <w:top w:val="single" w:sz="6" w:space="0" w:color="auto"/>
              <w:left w:val="single" w:sz="6" w:space="0" w:color="auto"/>
              <w:bottom w:val="single" w:sz="6" w:space="0" w:color="auto"/>
              <w:right w:val="single" w:sz="6" w:space="0" w:color="auto"/>
            </w:tcBorders>
          </w:tcPr>
          <w:p w14:paraId="1F944E27" w14:textId="77777777" w:rsidR="00DA0E45" w:rsidRDefault="00DA0E45" w:rsidP="00342BA4">
            <w:pPr>
              <w:overflowPunct w:val="0"/>
              <w:autoSpaceDE w:val="0"/>
              <w:autoSpaceDN w:val="0"/>
              <w:adjustRightInd w:val="0"/>
              <w:jc w:val="center"/>
            </w:pPr>
            <w:r>
              <w:t> </w:t>
            </w:r>
          </w:p>
          <w:p w14:paraId="1786E7CA" w14:textId="77777777" w:rsidR="00DA0E45" w:rsidRDefault="00DA0E45" w:rsidP="00342BA4">
            <w:pPr>
              <w:overflowPunct w:val="0"/>
              <w:autoSpaceDE w:val="0"/>
              <w:autoSpaceDN w:val="0"/>
              <w:adjustRightInd w:val="0"/>
              <w:jc w:val="center"/>
            </w:pPr>
            <w:r>
              <w:t>2,0</w:t>
            </w:r>
          </w:p>
          <w:p w14:paraId="2D76FE03" w14:textId="77777777" w:rsidR="00DA0E45" w:rsidRDefault="00DA0E45" w:rsidP="00342BA4">
            <w:pPr>
              <w:overflowPunct w:val="0"/>
              <w:autoSpaceDE w:val="0"/>
              <w:autoSpaceDN w:val="0"/>
              <w:adjustRightInd w:val="0"/>
              <w:jc w:val="center"/>
            </w:pPr>
            <w:r>
              <w:t>3,0</w:t>
            </w:r>
          </w:p>
        </w:tc>
        <w:tc>
          <w:tcPr>
            <w:tcW w:w="955" w:type="dxa"/>
            <w:tcBorders>
              <w:top w:val="single" w:sz="6" w:space="0" w:color="auto"/>
              <w:left w:val="single" w:sz="6" w:space="0" w:color="auto"/>
              <w:bottom w:val="single" w:sz="6" w:space="0" w:color="auto"/>
              <w:right w:val="single" w:sz="6" w:space="0" w:color="auto"/>
            </w:tcBorders>
          </w:tcPr>
          <w:p w14:paraId="48FB7375" w14:textId="77777777" w:rsidR="00DA0E45" w:rsidRDefault="00DA0E45" w:rsidP="00342BA4">
            <w:pPr>
              <w:overflowPunct w:val="0"/>
              <w:autoSpaceDE w:val="0"/>
              <w:autoSpaceDN w:val="0"/>
              <w:adjustRightInd w:val="0"/>
              <w:jc w:val="center"/>
            </w:pPr>
            <w:r>
              <w:t> </w:t>
            </w:r>
          </w:p>
          <w:p w14:paraId="71893C72" w14:textId="77777777" w:rsidR="00DA0E45" w:rsidRDefault="00DA0E45" w:rsidP="00342BA4">
            <w:pPr>
              <w:overflowPunct w:val="0"/>
              <w:autoSpaceDE w:val="0"/>
              <w:autoSpaceDN w:val="0"/>
              <w:adjustRightInd w:val="0"/>
              <w:jc w:val="center"/>
            </w:pPr>
            <w:r>
              <w:t>3,0</w:t>
            </w:r>
          </w:p>
          <w:p w14:paraId="38E0E5AA" w14:textId="77777777" w:rsidR="00DA0E45" w:rsidRDefault="00DA0E45" w:rsidP="00342BA4">
            <w:pPr>
              <w:overflowPunct w:val="0"/>
              <w:autoSpaceDE w:val="0"/>
              <w:autoSpaceDN w:val="0"/>
              <w:adjustRightInd w:val="0"/>
              <w:jc w:val="center"/>
            </w:pPr>
            <w:r>
              <w:t>5,0</w:t>
            </w:r>
          </w:p>
        </w:tc>
      </w:tr>
      <w:tr w:rsidR="00DA0E45" w14:paraId="02BD26DD" w14:textId="77777777" w:rsidTr="00342BA4">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14:paraId="32B68DE5" w14:textId="77777777" w:rsidR="00DA0E45" w:rsidRDefault="00DA0E45" w:rsidP="00342BA4">
            <w:pPr>
              <w:overflowPunct w:val="0"/>
              <w:autoSpaceDE w:val="0"/>
              <w:autoSpaceDN w:val="0"/>
              <w:adjustRightInd w:val="0"/>
              <w:jc w:val="center"/>
            </w:pPr>
            <w:r>
              <w:t>3</w:t>
            </w:r>
          </w:p>
        </w:tc>
        <w:tc>
          <w:tcPr>
            <w:tcW w:w="5103" w:type="dxa"/>
            <w:tcBorders>
              <w:top w:val="single" w:sz="6" w:space="0" w:color="auto"/>
              <w:left w:val="single" w:sz="6" w:space="0" w:color="auto"/>
              <w:bottom w:val="single" w:sz="6" w:space="0" w:color="auto"/>
              <w:right w:val="single" w:sz="6" w:space="0" w:color="auto"/>
            </w:tcBorders>
          </w:tcPr>
          <w:p w14:paraId="206E6887" w14:textId="77777777" w:rsidR="00DA0E45" w:rsidRDefault="00DA0E45" w:rsidP="00342BA4">
            <w:pPr>
              <w:overflowPunct w:val="0"/>
              <w:autoSpaceDE w:val="0"/>
              <w:autoSpaceDN w:val="0"/>
              <w:adjustRightInd w:val="0"/>
              <w:jc w:val="both"/>
            </w:pPr>
            <w:r>
              <w:t>Odporność na działanie mrozu, wg PN-B-06714-19 [5], % ubytku masy, nie więcej niż:</w:t>
            </w:r>
          </w:p>
          <w:p w14:paraId="46ACD0D2" w14:textId="77777777" w:rsidR="00DA0E45" w:rsidRDefault="00DA0E45" w:rsidP="00342BA4">
            <w:pPr>
              <w:overflowPunct w:val="0"/>
              <w:autoSpaceDE w:val="0"/>
              <w:autoSpaceDN w:val="0"/>
              <w:adjustRightInd w:val="0"/>
              <w:jc w:val="both"/>
            </w:pPr>
            <w:r>
              <w:t>a) dla kruszyw ze skał magmowych i przeobrażonych</w:t>
            </w:r>
          </w:p>
          <w:p w14:paraId="6ED3D098" w14:textId="77777777" w:rsidR="00DA0E45" w:rsidRDefault="00DA0E45" w:rsidP="00342BA4">
            <w:pPr>
              <w:overflowPunct w:val="0"/>
              <w:autoSpaceDE w:val="0"/>
              <w:autoSpaceDN w:val="0"/>
              <w:adjustRightInd w:val="0"/>
              <w:jc w:val="both"/>
            </w:pPr>
            <w:r>
              <w:t>b) dla kruszyw ze skał osadowych</w:t>
            </w:r>
          </w:p>
        </w:tc>
        <w:tc>
          <w:tcPr>
            <w:tcW w:w="955" w:type="dxa"/>
            <w:tcBorders>
              <w:top w:val="single" w:sz="6" w:space="0" w:color="auto"/>
              <w:left w:val="single" w:sz="6" w:space="0" w:color="auto"/>
              <w:bottom w:val="single" w:sz="6" w:space="0" w:color="auto"/>
              <w:right w:val="single" w:sz="6" w:space="0" w:color="auto"/>
            </w:tcBorders>
          </w:tcPr>
          <w:p w14:paraId="4EF63BEC" w14:textId="77777777" w:rsidR="00DA0E45" w:rsidRDefault="00DA0E45" w:rsidP="00342BA4">
            <w:pPr>
              <w:overflowPunct w:val="0"/>
              <w:autoSpaceDE w:val="0"/>
              <w:autoSpaceDN w:val="0"/>
              <w:adjustRightInd w:val="0"/>
              <w:jc w:val="center"/>
            </w:pPr>
            <w:r>
              <w:t> </w:t>
            </w:r>
          </w:p>
          <w:p w14:paraId="5765AB5E" w14:textId="77777777" w:rsidR="00DA0E45" w:rsidRDefault="00DA0E45" w:rsidP="00342BA4">
            <w:pPr>
              <w:overflowPunct w:val="0"/>
              <w:autoSpaceDE w:val="0"/>
              <w:autoSpaceDN w:val="0"/>
              <w:adjustRightInd w:val="0"/>
              <w:jc w:val="center"/>
            </w:pPr>
            <w:r>
              <w:t> </w:t>
            </w:r>
          </w:p>
          <w:p w14:paraId="726C1ECB" w14:textId="77777777" w:rsidR="00DA0E45" w:rsidRDefault="00DA0E45" w:rsidP="00342BA4">
            <w:pPr>
              <w:overflowPunct w:val="0"/>
              <w:autoSpaceDE w:val="0"/>
              <w:autoSpaceDN w:val="0"/>
              <w:adjustRightInd w:val="0"/>
              <w:jc w:val="center"/>
            </w:pPr>
            <w:r>
              <w:t>4,0</w:t>
            </w:r>
          </w:p>
          <w:p w14:paraId="38E6564C" w14:textId="77777777" w:rsidR="00DA0E45" w:rsidRDefault="00DA0E45" w:rsidP="00342BA4">
            <w:pPr>
              <w:overflowPunct w:val="0"/>
              <w:autoSpaceDE w:val="0"/>
              <w:autoSpaceDN w:val="0"/>
              <w:adjustRightInd w:val="0"/>
              <w:jc w:val="center"/>
            </w:pPr>
            <w:r>
              <w:t>5,0</w:t>
            </w:r>
          </w:p>
        </w:tc>
        <w:tc>
          <w:tcPr>
            <w:tcW w:w="955" w:type="dxa"/>
            <w:tcBorders>
              <w:top w:val="single" w:sz="6" w:space="0" w:color="auto"/>
              <w:left w:val="single" w:sz="6" w:space="0" w:color="auto"/>
              <w:bottom w:val="single" w:sz="6" w:space="0" w:color="auto"/>
              <w:right w:val="single" w:sz="6" w:space="0" w:color="auto"/>
            </w:tcBorders>
          </w:tcPr>
          <w:p w14:paraId="77896185" w14:textId="77777777" w:rsidR="00DA0E45" w:rsidRDefault="00DA0E45" w:rsidP="00342BA4">
            <w:pPr>
              <w:overflowPunct w:val="0"/>
              <w:autoSpaceDE w:val="0"/>
              <w:autoSpaceDN w:val="0"/>
              <w:adjustRightInd w:val="0"/>
              <w:jc w:val="center"/>
            </w:pPr>
            <w:r>
              <w:t> </w:t>
            </w:r>
          </w:p>
          <w:p w14:paraId="6C6F2932" w14:textId="77777777" w:rsidR="00DA0E45" w:rsidRDefault="00DA0E45" w:rsidP="00342BA4">
            <w:pPr>
              <w:overflowPunct w:val="0"/>
              <w:autoSpaceDE w:val="0"/>
              <w:autoSpaceDN w:val="0"/>
              <w:adjustRightInd w:val="0"/>
              <w:jc w:val="center"/>
            </w:pPr>
            <w:r>
              <w:t> </w:t>
            </w:r>
          </w:p>
          <w:p w14:paraId="7F8C42FE" w14:textId="77777777" w:rsidR="00DA0E45" w:rsidRDefault="00DA0E45" w:rsidP="00342BA4">
            <w:pPr>
              <w:overflowPunct w:val="0"/>
              <w:autoSpaceDE w:val="0"/>
              <w:autoSpaceDN w:val="0"/>
              <w:adjustRightInd w:val="0"/>
              <w:jc w:val="center"/>
            </w:pPr>
            <w:r>
              <w:t>10,0</w:t>
            </w:r>
          </w:p>
          <w:p w14:paraId="42F316C4" w14:textId="77777777" w:rsidR="00DA0E45" w:rsidRDefault="00DA0E45" w:rsidP="00342BA4">
            <w:pPr>
              <w:overflowPunct w:val="0"/>
              <w:autoSpaceDE w:val="0"/>
              <w:autoSpaceDN w:val="0"/>
              <w:adjustRightInd w:val="0"/>
              <w:jc w:val="center"/>
            </w:pPr>
            <w:r>
              <w:t>10,0</w:t>
            </w:r>
          </w:p>
        </w:tc>
      </w:tr>
      <w:tr w:rsidR="00DA0E45" w14:paraId="3B035532" w14:textId="77777777" w:rsidTr="00342BA4">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14:paraId="2D888E9B" w14:textId="77777777" w:rsidR="00DA0E45" w:rsidRDefault="00DA0E45" w:rsidP="00342BA4">
            <w:pPr>
              <w:overflowPunct w:val="0"/>
              <w:autoSpaceDE w:val="0"/>
              <w:autoSpaceDN w:val="0"/>
              <w:adjustRightInd w:val="0"/>
              <w:jc w:val="center"/>
            </w:pPr>
            <w:r>
              <w:t>4</w:t>
            </w:r>
          </w:p>
        </w:tc>
        <w:tc>
          <w:tcPr>
            <w:tcW w:w="5103" w:type="dxa"/>
            <w:tcBorders>
              <w:top w:val="single" w:sz="6" w:space="0" w:color="auto"/>
              <w:left w:val="single" w:sz="6" w:space="0" w:color="auto"/>
              <w:bottom w:val="single" w:sz="6" w:space="0" w:color="auto"/>
              <w:right w:val="single" w:sz="6" w:space="0" w:color="auto"/>
            </w:tcBorders>
          </w:tcPr>
          <w:p w14:paraId="6AD38B21" w14:textId="77777777" w:rsidR="00DA0E45" w:rsidRDefault="00DA0E45" w:rsidP="00342BA4">
            <w:pPr>
              <w:overflowPunct w:val="0"/>
              <w:autoSpaceDE w:val="0"/>
              <w:autoSpaceDN w:val="0"/>
              <w:adjustRightInd w:val="0"/>
              <w:jc w:val="both"/>
            </w:pPr>
            <w:r>
              <w:t>Odporność na działanie mrozu według zmodyfikowanej metody bezpośredniej, wg PN-B-06714-19 [5] i PN-B-11112 [8], % ubytku masy, nie więcej niż:</w:t>
            </w:r>
          </w:p>
          <w:p w14:paraId="508D5205" w14:textId="77777777" w:rsidR="00DA0E45" w:rsidRDefault="00DA0E45" w:rsidP="00342BA4">
            <w:pPr>
              <w:overflowPunct w:val="0"/>
              <w:autoSpaceDE w:val="0"/>
              <w:autoSpaceDN w:val="0"/>
              <w:adjustRightInd w:val="0"/>
              <w:jc w:val="both"/>
            </w:pPr>
            <w:r>
              <w:t>- w klińcu</w:t>
            </w:r>
          </w:p>
          <w:p w14:paraId="58906C59" w14:textId="77777777" w:rsidR="00DA0E45" w:rsidRDefault="00DA0E45" w:rsidP="00342BA4">
            <w:pPr>
              <w:overflowPunct w:val="0"/>
              <w:autoSpaceDE w:val="0"/>
              <w:autoSpaceDN w:val="0"/>
              <w:adjustRightInd w:val="0"/>
              <w:jc w:val="both"/>
            </w:pPr>
            <w:r>
              <w:t>- w tłuczniu</w:t>
            </w:r>
          </w:p>
        </w:tc>
        <w:tc>
          <w:tcPr>
            <w:tcW w:w="955" w:type="dxa"/>
            <w:tcBorders>
              <w:top w:val="single" w:sz="6" w:space="0" w:color="auto"/>
              <w:left w:val="single" w:sz="6" w:space="0" w:color="auto"/>
              <w:bottom w:val="single" w:sz="6" w:space="0" w:color="auto"/>
              <w:right w:val="single" w:sz="6" w:space="0" w:color="auto"/>
            </w:tcBorders>
          </w:tcPr>
          <w:p w14:paraId="379966B4" w14:textId="77777777" w:rsidR="00DA0E45" w:rsidRDefault="00DA0E45" w:rsidP="00342BA4">
            <w:pPr>
              <w:overflowPunct w:val="0"/>
              <w:autoSpaceDE w:val="0"/>
              <w:autoSpaceDN w:val="0"/>
              <w:adjustRightInd w:val="0"/>
              <w:jc w:val="center"/>
            </w:pPr>
            <w:r>
              <w:t> </w:t>
            </w:r>
          </w:p>
          <w:p w14:paraId="1305CF1A" w14:textId="77777777" w:rsidR="00DA0E45" w:rsidRDefault="00DA0E45" w:rsidP="00342BA4">
            <w:pPr>
              <w:overflowPunct w:val="0"/>
              <w:autoSpaceDE w:val="0"/>
              <w:autoSpaceDN w:val="0"/>
              <w:adjustRightInd w:val="0"/>
              <w:jc w:val="center"/>
            </w:pPr>
            <w:r>
              <w:t> </w:t>
            </w:r>
          </w:p>
          <w:p w14:paraId="60E6C567" w14:textId="77777777" w:rsidR="00DA0E45" w:rsidRDefault="00DA0E45" w:rsidP="00342BA4">
            <w:pPr>
              <w:overflowPunct w:val="0"/>
              <w:autoSpaceDE w:val="0"/>
              <w:autoSpaceDN w:val="0"/>
              <w:adjustRightInd w:val="0"/>
              <w:jc w:val="center"/>
            </w:pPr>
            <w:r>
              <w:t> </w:t>
            </w:r>
          </w:p>
          <w:p w14:paraId="102FD9A9" w14:textId="77777777" w:rsidR="00DA0E45" w:rsidRDefault="00DA0E45" w:rsidP="00342BA4">
            <w:pPr>
              <w:overflowPunct w:val="0"/>
              <w:autoSpaceDE w:val="0"/>
              <w:autoSpaceDN w:val="0"/>
              <w:adjustRightInd w:val="0"/>
              <w:jc w:val="center"/>
            </w:pPr>
            <w:r>
              <w:t>30</w:t>
            </w:r>
          </w:p>
          <w:p w14:paraId="16BDE8B0" w14:textId="77777777" w:rsidR="00DA0E45" w:rsidRDefault="00DA0E45" w:rsidP="00342BA4">
            <w:pPr>
              <w:overflowPunct w:val="0"/>
              <w:autoSpaceDE w:val="0"/>
              <w:autoSpaceDN w:val="0"/>
              <w:adjustRightInd w:val="0"/>
              <w:jc w:val="center"/>
            </w:pPr>
            <w:r>
              <w:rPr>
                <w:sz w:val="16"/>
              </w:rPr>
              <w:t>nie bada się</w:t>
            </w:r>
          </w:p>
        </w:tc>
        <w:tc>
          <w:tcPr>
            <w:tcW w:w="955" w:type="dxa"/>
            <w:tcBorders>
              <w:top w:val="single" w:sz="6" w:space="0" w:color="auto"/>
              <w:left w:val="single" w:sz="6" w:space="0" w:color="auto"/>
              <w:bottom w:val="single" w:sz="6" w:space="0" w:color="auto"/>
              <w:right w:val="single" w:sz="6" w:space="0" w:color="auto"/>
            </w:tcBorders>
          </w:tcPr>
          <w:p w14:paraId="0E945592" w14:textId="77777777" w:rsidR="00DA0E45" w:rsidRDefault="00DA0E45" w:rsidP="00342BA4">
            <w:pPr>
              <w:overflowPunct w:val="0"/>
              <w:autoSpaceDE w:val="0"/>
              <w:autoSpaceDN w:val="0"/>
              <w:adjustRightInd w:val="0"/>
              <w:jc w:val="center"/>
            </w:pPr>
            <w:r>
              <w:t> </w:t>
            </w:r>
          </w:p>
          <w:p w14:paraId="6BA38D44" w14:textId="77777777" w:rsidR="00DA0E45" w:rsidRDefault="00DA0E45" w:rsidP="00342BA4">
            <w:pPr>
              <w:overflowPunct w:val="0"/>
              <w:autoSpaceDE w:val="0"/>
              <w:autoSpaceDN w:val="0"/>
              <w:adjustRightInd w:val="0"/>
              <w:jc w:val="center"/>
            </w:pPr>
            <w:r>
              <w:t> </w:t>
            </w:r>
          </w:p>
          <w:p w14:paraId="7C6F51A0" w14:textId="77777777" w:rsidR="00DA0E45" w:rsidRDefault="00DA0E45" w:rsidP="00342BA4">
            <w:pPr>
              <w:overflowPunct w:val="0"/>
              <w:autoSpaceDE w:val="0"/>
              <w:autoSpaceDN w:val="0"/>
              <w:adjustRightInd w:val="0"/>
              <w:jc w:val="center"/>
            </w:pPr>
            <w:r>
              <w:t> </w:t>
            </w:r>
          </w:p>
          <w:p w14:paraId="559B64EE" w14:textId="77777777" w:rsidR="00DA0E45" w:rsidRDefault="00DA0E45" w:rsidP="00342BA4">
            <w:pPr>
              <w:overflowPunct w:val="0"/>
              <w:autoSpaceDE w:val="0"/>
              <w:autoSpaceDN w:val="0"/>
              <w:adjustRightInd w:val="0"/>
              <w:spacing w:before="60"/>
              <w:jc w:val="center"/>
              <w:rPr>
                <w:sz w:val="16"/>
              </w:rPr>
            </w:pPr>
            <w:r>
              <w:rPr>
                <w:sz w:val="16"/>
              </w:rPr>
              <w:t>nie bada się</w:t>
            </w:r>
          </w:p>
          <w:p w14:paraId="457BD767" w14:textId="77777777" w:rsidR="00DA0E45" w:rsidRDefault="00DA0E45" w:rsidP="00342BA4">
            <w:pPr>
              <w:overflowPunct w:val="0"/>
              <w:autoSpaceDE w:val="0"/>
              <w:autoSpaceDN w:val="0"/>
              <w:adjustRightInd w:val="0"/>
              <w:jc w:val="center"/>
            </w:pPr>
            <w:r>
              <w:rPr>
                <w:sz w:val="16"/>
              </w:rPr>
              <w:t>nie bada się</w:t>
            </w:r>
          </w:p>
        </w:tc>
      </w:tr>
    </w:tbl>
    <w:p w14:paraId="09E843A6" w14:textId="77777777" w:rsidR="00DA0E45" w:rsidRDefault="00DA0E45" w:rsidP="00DA0E45">
      <w:pPr>
        <w:overflowPunct w:val="0"/>
        <w:autoSpaceDE w:val="0"/>
        <w:autoSpaceDN w:val="0"/>
        <w:adjustRightInd w:val="0"/>
        <w:jc w:val="both"/>
      </w:pPr>
      <w:r>
        <w:t> </w:t>
      </w:r>
    </w:p>
    <w:p w14:paraId="2E77DAAC" w14:textId="77777777" w:rsidR="00DA0E45" w:rsidRDefault="00DA0E45" w:rsidP="00DA0E45">
      <w:pPr>
        <w:overflowPunct w:val="0"/>
        <w:autoSpaceDE w:val="0"/>
        <w:autoSpaceDN w:val="0"/>
        <w:adjustRightInd w:val="0"/>
        <w:jc w:val="both"/>
        <w:rPr>
          <w:i/>
        </w:rPr>
      </w:pPr>
      <w:r>
        <w:t>  </w:t>
      </w:r>
    </w:p>
    <w:p w14:paraId="470CC822" w14:textId="77777777" w:rsidR="00DA0E45" w:rsidRDefault="00DA0E45" w:rsidP="00DA0E45">
      <w:pPr>
        <w:overflowPunct w:val="0"/>
        <w:autoSpaceDE w:val="0"/>
        <w:autoSpaceDN w:val="0"/>
        <w:adjustRightInd w:val="0"/>
        <w:spacing w:after="120"/>
        <w:jc w:val="both"/>
        <w:rPr>
          <w:i/>
        </w:rPr>
      </w:pPr>
      <w:r>
        <w:rPr>
          <w:i/>
        </w:rPr>
        <w:t>Tablica 2. Wymagania dla tłucznia i klińca w zależności od warstwy podbudowy tłuczniowej, wg PN-B-11112 [8]</w:t>
      </w:r>
    </w:p>
    <w:tbl>
      <w:tblPr>
        <w:tblW w:w="0" w:type="auto"/>
        <w:tblInd w:w="1069" w:type="dxa"/>
        <w:tblLayout w:type="fixed"/>
        <w:tblCellMar>
          <w:left w:w="70" w:type="dxa"/>
          <w:right w:w="70" w:type="dxa"/>
        </w:tblCellMar>
        <w:tblLook w:val="0000" w:firstRow="0" w:lastRow="0" w:firstColumn="0" w:lastColumn="0" w:noHBand="0" w:noVBand="0"/>
      </w:tblPr>
      <w:tblGrid>
        <w:gridCol w:w="496"/>
        <w:gridCol w:w="4394"/>
        <w:gridCol w:w="1309"/>
        <w:gridCol w:w="1311"/>
      </w:tblGrid>
      <w:tr w:rsidR="00DA0E45" w14:paraId="2ACB3A45" w14:textId="77777777" w:rsidTr="00342BA4">
        <w:tblPrEx>
          <w:tblCellMar>
            <w:top w:w="0" w:type="dxa"/>
            <w:bottom w:w="0" w:type="dxa"/>
          </w:tblCellMar>
        </w:tblPrEx>
        <w:tc>
          <w:tcPr>
            <w:tcW w:w="496" w:type="dxa"/>
            <w:tcBorders>
              <w:top w:val="single" w:sz="6" w:space="0" w:color="auto"/>
              <w:left w:val="single" w:sz="6" w:space="0" w:color="auto"/>
              <w:bottom w:val="double" w:sz="4" w:space="0" w:color="auto"/>
              <w:right w:val="single" w:sz="6" w:space="0" w:color="auto"/>
            </w:tcBorders>
          </w:tcPr>
          <w:p w14:paraId="50669D69" w14:textId="77777777" w:rsidR="00DA0E45" w:rsidRDefault="00DA0E45" w:rsidP="00342BA4">
            <w:pPr>
              <w:overflowPunct w:val="0"/>
              <w:autoSpaceDE w:val="0"/>
              <w:autoSpaceDN w:val="0"/>
              <w:adjustRightInd w:val="0"/>
              <w:jc w:val="center"/>
            </w:pPr>
            <w:r>
              <w:t> </w:t>
            </w:r>
          </w:p>
          <w:p w14:paraId="0BB1B5EA" w14:textId="77777777" w:rsidR="00DA0E45" w:rsidRDefault="00DA0E45" w:rsidP="00342BA4">
            <w:pPr>
              <w:overflowPunct w:val="0"/>
              <w:autoSpaceDE w:val="0"/>
              <w:autoSpaceDN w:val="0"/>
              <w:adjustRightInd w:val="0"/>
              <w:jc w:val="center"/>
            </w:pPr>
            <w:r>
              <w:t>Lp.</w:t>
            </w:r>
          </w:p>
        </w:tc>
        <w:tc>
          <w:tcPr>
            <w:tcW w:w="4394" w:type="dxa"/>
            <w:tcBorders>
              <w:top w:val="single" w:sz="6" w:space="0" w:color="auto"/>
              <w:left w:val="single" w:sz="6" w:space="0" w:color="auto"/>
              <w:bottom w:val="double" w:sz="4" w:space="0" w:color="auto"/>
              <w:right w:val="single" w:sz="6" w:space="0" w:color="auto"/>
            </w:tcBorders>
          </w:tcPr>
          <w:p w14:paraId="3B9C93A5" w14:textId="77777777" w:rsidR="00DA0E45" w:rsidRDefault="00DA0E45" w:rsidP="00342BA4">
            <w:pPr>
              <w:overflowPunct w:val="0"/>
              <w:autoSpaceDE w:val="0"/>
              <w:autoSpaceDN w:val="0"/>
              <w:adjustRightInd w:val="0"/>
              <w:jc w:val="both"/>
            </w:pPr>
            <w:r>
              <w:t> </w:t>
            </w:r>
          </w:p>
          <w:p w14:paraId="00D8FF48" w14:textId="77777777" w:rsidR="00DA0E45" w:rsidRDefault="00DA0E45" w:rsidP="00342BA4">
            <w:pPr>
              <w:overflowPunct w:val="0"/>
              <w:autoSpaceDE w:val="0"/>
              <w:autoSpaceDN w:val="0"/>
              <w:adjustRightInd w:val="0"/>
              <w:jc w:val="center"/>
            </w:pPr>
            <w:r>
              <w:t>Właściwości</w:t>
            </w:r>
          </w:p>
        </w:tc>
        <w:tc>
          <w:tcPr>
            <w:tcW w:w="1309" w:type="dxa"/>
            <w:tcBorders>
              <w:top w:val="single" w:sz="6" w:space="0" w:color="auto"/>
              <w:left w:val="single" w:sz="6" w:space="0" w:color="auto"/>
              <w:bottom w:val="double" w:sz="4" w:space="0" w:color="auto"/>
              <w:right w:val="single" w:sz="6" w:space="0" w:color="auto"/>
            </w:tcBorders>
          </w:tcPr>
          <w:p w14:paraId="1FC61492" w14:textId="77777777" w:rsidR="00DA0E45" w:rsidRDefault="00DA0E45" w:rsidP="00342BA4">
            <w:pPr>
              <w:overflowPunct w:val="0"/>
              <w:autoSpaceDE w:val="0"/>
              <w:autoSpaceDN w:val="0"/>
              <w:adjustRightInd w:val="0"/>
              <w:jc w:val="center"/>
            </w:pPr>
            <w:r>
              <w:rPr>
                <w:sz w:val="16"/>
              </w:rPr>
              <w:t>Podbudowa jednowarstwowa lub podbudowa zasadnicza</w:t>
            </w:r>
          </w:p>
        </w:tc>
        <w:tc>
          <w:tcPr>
            <w:tcW w:w="1311" w:type="dxa"/>
            <w:tcBorders>
              <w:top w:val="single" w:sz="6" w:space="0" w:color="auto"/>
              <w:left w:val="nil"/>
              <w:bottom w:val="double" w:sz="4" w:space="0" w:color="auto"/>
              <w:right w:val="single" w:sz="6" w:space="0" w:color="auto"/>
            </w:tcBorders>
          </w:tcPr>
          <w:p w14:paraId="0D0FED59" w14:textId="77777777" w:rsidR="00DA0E45" w:rsidRDefault="00DA0E45" w:rsidP="00342BA4">
            <w:pPr>
              <w:overflowPunct w:val="0"/>
              <w:autoSpaceDE w:val="0"/>
              <w:autoSpaceDN w:val="0"/>
              <w:adjustRightInd w:val="0"/>
              <w:jc w:val="center"/>
              <w:rPr>
                <w:sz w:val="16"/>
              </w:rPr>
            </w:pPr>
            <w:r>
              <w:rPr>
                <w:sz w:val="16"/>
              </w:rPr>
              <w:t> </w:t>
            </w:r>
          </w:p>
          <w:p w14:paraId="3711392D" w14:textId="77777777" w:rsidR="00DA0E45" w:rsidRDefault="00DA0E45" w:rsidP="00342BA4">
            <w:pPr>
              <w:overflowPunct w:val="0"/>
              <w:autoSpaceDE w:val="0"/>
              <w:autoSpaceDN w:val="0"/>
              <w:adjustRightInd w:val="0"/>
              <w:jc w:val="center"/>
            </w:pPr>
            <w:r>
              <w:rPr>
                <w:sz w:val="16"/>
              </w:rPr>
              <w:t>Podbudowa pomocnicza</w:t>
            </w:r>
          </w:p>
        </w:tc>
      </w:tr>
      <w:tr w:rsidR="00DA0E45" w14:paraId="16DF02A3" w14:textId="77777777" w:rsidTr="00342BA4">
        <w:tblPrEx>
          <w:tblCellMar>
            <w:top w:w="0" w:type="dxa"/>
            <w:bottom w:w="0" w:type="dxa"/>
          </w:tblCellMar>
        </w:tblPrEx>
        <w:trPr>
          <w:trHeight w:val="990"/>
        </w:trPr>
        <w:tc>
          <w:tcPr>
            <w:tcW w:w="496" w:type="dxa"/>
            <w:tcBorders>
              <w:top w:val="double" w:sz="4" w:space="0" w:color="auto"/>
              <w:left w:val="single" w:sz="4" w:space="0" w:color="auto"/>
              <w:bottom w:val="nil"/>
              <w:right w:val="single" w:sz="4" w:space="0" w:color="auto"/>
            </w:tcBorders>
          </w:tcPr>
          <w:p w14:paraId="51872CCD" w14:textId="77777777" w:rsidR="00DA0E45" w:rsidRDefault="00DA0E45" w:rsidP="00342BA4">
            <w:pPr>
              <w:overflowPunct w:val="0"/>
              <w:autoSpaceDE w:val="0"/>
              <w:autoSpaceDN w:val="0"/>
              <w:adjustRightInd w:val="0"/>
              <w:jc w:val="center"/>
            </w:pPr>
            <w:r>
              <w:t>1</w:t>
            </w:r>
          </w:p>
        </w:tc>
        <w:tc>
          <w:tcPr>
            <w:tcW w:w="4394" w:type="dxa"/>
            <w:tcBorders>
              <w:top w:val="double" w:sz="4" w:space="0" w:color="auto"/>
              <w:left w:val="single" w:sz="4" w:space="0" w:color="auto"/>
              <w:bottom w:val="nil"/>
              <w:right w:val="single" w:sz="4" w:space="0" w:color="auto"/>
            </w:tcBorders>
          </w:tcPr>
          <w:p w14:paraId="49CE961B" w14:textId="77777777" w:rsidR="00DA0E45" w:rsidRDefault="00DA0E45" w:rsidP="00342BA4">
            <w:pPr>
              <w:overflowPunct w:val="0"/>
              <w:autoSpaceDE w:val="0"/>
              <w:autoSpaceDN w:val="0"/>
              <w:adjustRightInd w:val="0"/>
              <w:jc w:val="both"/>
            </w:pPr>
            <w:r>
              <w:t>Uziarnienie, wg PN-B-06714-15 [2]</w:t>
            </w:r>
          </w:p>
          <w:p w14:paraId="1561574A" w14:textId="77777777" w:rsidR="00DA0E45" w:rsidRDefault="00DA0E45" w:rsidP="00342BA4">
            <w:pPr>
              <w:overflowPunct w:val="0"/>
              <w:autoSpaceDE w:val="0"/>
              <w:autoSpaceDN w:val="0"/>
              <w:adjustRightInd w:val="0"/>
              <w:jc w:val="both"/>
            </w:pPr>
            <w:r>
              <w:t xml:space="preserve">a) zawartość </w:t>
            </w:r>
            <w:proofErr w:type="spellStart"/>
            <w:r>
              <w:t>ziarn</w:t>
            </w:r>
            <w:proofErr w:type="spellEnd"/>
            <w:r>
              <w:t xml:space="preserve"> mniejszych niż </w:t>
            </w:r>
            <w:smartTag w:uri="urn:schemas-microsoft-com:office:smarttags" w:element="metricconverter">
              <w:smartTagPr>
                <w:attr w:name="ProductID" w:val="0,075 mm"/>
              </w:smartTagPr>
              <w:r>
                <w:t>0,075 mm</w:t>
              </w:r>
            </w:smartTag>
            <w:r>
              <w:t xml:space="preserve">, </w:t>
            </w:r>
            <w:proofErr w:type="spellStart"/>
            <w:r>
              <w:t>odsia</w:t>
            </w:r>
            <w:proofErr w:type="spellEnd"/>
            <w:r>
              <w:t>-</w:t>
            </w:r>
          </w:p>
          <w:p w14:paraId="525E5E51" w14:textId="77777777" w:rsidR="00DA0E45" w:rsidRDefault="00DA0E45" w:rsidP="00342BA4">
            <w:pPr>
              <w:overflowPunct w:val="0"/>
              <w:autoSpaceDE w:val="0"/>
              <w:autoSpaceDN w:val="0"/>
              <w:adjustRightInd w:val="0"/>
              <w:jc w:val="both"/>
            </w:pPr>
            <w:r>
              <w:t xml:space="preserve">    </w:t>
            </w:r>
            <w:proofErr w:type="spellStart"/>
            <w:r>
              <w:t>nych</w:t>
            </w:r>
            <w:proofErr w:type="spellEnd"/>
            <w:r>
              <w:t xml:space="preserve"> na mokro, % m/m, nie więcej niż:</w:t>
            </w:r>
          </w:p>
          <w:p w14:paraId="09551841" w14:textId="77777777" w:rsidR="00DA0E45" w:rsidRDefault="00DA0E45" w:rsidP="00342BA4">
            <w:pPr>
              <w:overflowPunct w:val="0"/>
              <w:autoSpaceDE w:val="0"/>
              <w:autoSpaceDN w:val="0"/>
              <w:adjustRightInd w:val="0"/>
              <w:jc w:val="both"/>
            </w:pPr>
            <w:r>
              <w:t xml:space="preserve">    - w tłuczniu</w:t>
            </w:r>
          </w:p>
          <w:p w14:paraId="20902C63" w14:textId="77777777" w:rsidR="00DA0E45" w:rsidRDefault="00DA0E45" w:rsidP="00342BA4">
            <w:pPr>
              <w:overflowPunct w:val="0"/>
              <w:autoSpaceDE w:val="0"/>
              <w:autoSpaceDN w:val="0"/>
              <w:adjustRightInd w:val="0"/>
              <w:jc w:val="both"/>
            </w:pPr>
            <w:r>
              <w:t xml:space="preserve">    - w klińcu</w:t>
            </w:r>
          </w:p>
        </w:tc>
        <w:tc>
          <w:tcPr>
            <w:tcW w:w="1309" w:type="dxa"/>
            <w:tcBorders>
              <w:top w:val="double" w:sz="4" w:space="0" w:color="auto"/>
              <w:left w:val="single" w:sz="4" w:space="0" w:color="auto"/>
              <w:bottom w:val="nil"/>
              <w:right w:val="single" w:sz="4" w:space="0" w:color="auto"/>
            </w:tcBorders>
          </w:tcPr>
          <w:p w14:paraId="5603A356" w14:textId="77777777" w:rsidR="00DA0E45" w:rsidRDefault="00DA0E45" w:rsidP="00342BA4">
            <w:pPr>
              <w:overflowPunct w:val="0"/>
              <w:autoSpaceDE w:val="0"/>
              <w:autoSpaceDN w:val="0"/>
              <w:adjustRightInd w:val="0"/>
              <w:jc w:val="center"/>
            </w:pPr>
            <w:r>
              <w:t> </w:t>
            </w:r>
          </w:p>
          <w:p w14:paraId="649DFE1F" w14:textId="77777777" w:rsidR="00DA0E45" w:rsidRDefault="00DA0E45" w:rsidP="00342BA4">
            <w:pPr>
              <w:overflowPunct w:val="0"/>
              <w:autoSpaceDE w:val="0"/>
              <w:autoSpaceDN w:val="0"/>
              <w:adjustRightInd w:val="0"/>
              <w:jc w:val="center"/>
            </w:pPr>
            <w:r>
              <w:t> </w:t>
            </w:r>
          </w:p>
          <w:p w14:paraId="1C2AC9F9" w14:textId="77777777" w:rsidR="00DA0E45" w:rsidRDefault="00DA0E45" w:rsidP="00342BA4">
            <w:pPr>
              <w:overflowPunct w:val="0"/>
              <w:autoSpaceDE w:val="0"/>
              <w:autoSpaceDN w:val="0"/>
              <w:adjustRightInd w:val="0"/>
              <w:jc w:val="center"/>
            </w:pPr>
            <w:r>
              <w:t> </w:t>
            </w:r>
          </w:p>
          <w:p w14:paraId="30931FB6" w14:textId="77777777" w:rsidR="00DA0E45" w:rsidRDefault="00DA0E45" w:rsidP="00342BA4">
            <w:pPr>
              <w:overflowPunct w:val="0"/>
              <w:autoSpaceDE w:val="0"/>
              <w:autoSpaceDN w:val="0"/>
              <w:adjustRightInd w:val="0"/>
              <w:jc w:val="center"/>
            </w:pPr>
            <w:r>
              <w:t>3</w:t>
            </w:r>
          </w:p>
          <w:p w14:paraId="1734632F" w14:textId="77777777" w:rsidR="00DA0E45" w:rsidRDefault="00DA0E45" w:rsidP="00342BA4">
            <w:pPr>
              <w:overflowPunct w:val="0"/>
              <w:autoSpaceDE w:val="0"/>
              <w:autoSpaceDN w:val="0"/>
              <w:adjustRightInd w:val="0"/>
              <w:jc w:val="center"/>
            </w:pPr>
            <w:r>
              <w:t>4</w:t>
            </w:r>
          </w:p>
        </w:tc>
        <w:tc>
          <w:tcPr>
            <w:tcW w:w="1311" w:type="dxa"/>
            <w:tcBorders>
              <w:top w:val="double" w:sz="4" w:space="0" w:color="auto"/>
              <w:left w:val="single" w:sz="4" w:space="0" w:color="auto"/>
              <w:bottom w:val="nil"/>
              <w:right w:val="single" w:sz="4" w:space="0" w:color="auto"/>
            </w:tcBorders>
          </w:tcPr>
          <w:p w14:paraId="4FCDC24A" w14:textId="77777777" w:rsidR="00DA0E45" w:rsidRDefault="00DA0E45" w:rsidP="00342BA4">
            <w:pPr>
              <w:overflowPunct w:val="0"/>
              <w:autoSpaceDE w:val="0"/>
              <w:autoSpaceDN w:val="0"/>
              <w:adjustRightInd w:val="0"/>
              <w:jc w:val="center"/>
            </w:pPr>
            <w:r>
              <w:t> </w:t>
            </w:r>
          </w:p>
          <w:p w14:paraId="23A35DE9" w14:textId="77777777" w:rsidR="00DA0E45" w:rsidRDefault="00DA0E45" w:rsidP="00342BA4">
            <w:pPr>
              <w:overflowPunct w:val="0"/>
              <w:autoSpaceDE w:val="0"/>
              <w:autoSpaceDN w:val="0"/>
              <w:adjustRightInd w:val="0"/>
              <w:jc w:val="center"/>
            </w:pPr>
            <w:r>
              <w:t> </w:t>
            </w:r>
          </w:p>
          <w:p w14:paraId="4D5682FE" w14:textId="77777777" w:rsidR="00DA0E45" w:rsidRDefault="00DA0E45" w:rsidP="00342BA4">
            <w:pPr>
              <w:overflowPunct w:val="0"/>
              <w:autoSpaceDE w:val="0"/>
              <w:autoSpaceDN w:val="0"/>
              <w:adjustRightInd w:val="0"/>
              <w:jc w:val="center"/>
            </w:pPr>
            <w:r>
              <w:t> </w:t>
            </w:r>
          </w:p>
          <w:p w14:paraId="0AEC31D4" w14:textId="77777777" w:rsidR="00DA0E45" w:rsidRDefault="00DA0E45" w:rsidP="00342BA4">
            <w:pPr>
              <w:overflowPunct w:val="0"/>
              <w:autoSpaceDE w:val="0"/>
              <w:autoSpaceDN w:val="0"/>
              <w:adjustRightInd w:val="0"/>
              <w:jc w:val="center"/>
            </w:pPr>
            <w:r>
              <w:t>4</w:t>
            </w:r>
          </w:p>
          <w:p w14:paraId="2240468B" w14:textId="77777777" w:rsidR="00DA0E45" w:rsidRDefault="00DA0E45" w:rsidP="00342BA4">
            <w:pPr>
              <w:overflowPunct w:val="0"/>
              <w:autoSpaceDE w:val="0"/>
              <w:autoSpaceDN w:val="0"/>
              <w:adjustRightInd w:val="0"/>
              <w:jc w:val="center"/>
            </w:pPr>
            <w:r>
              <w:t>5</w:t>
            </w:r>
          </w:p>
        </w:tc>
      </w:tr>
      <w:tr w:rsidR="00DA0E45" w14:paraId="21912804" w14:textId="77777777" w:rsidTr="00342BA4">
        <w:tblPrEx>
          <w:tblCellMar>
            <w:top w:w="0" w:type="dxa"/>
            <w:bottom w:w="0" w:type="dxa"/>
          </w:tblCellMar>
        </w:tblPrEx>
        <w:trPr>
          <w:trHeight w:val="555"/>
        </w:trPr>
        <w:tc>
          <w:tcPr>
            <w:tcW w:w="496" w:type="dxa"/>
            <w:tcBorders>
              <w:top w:val="nil"/>
              <w:left w:val="single" w:sz="4" w:space="0" w:color="auto"/>
              <w:bottom w:val="nil"/>
              <w:right w:val="single" w:sz="4" w:space="0" w:color="auto"/>
            </w:tcBorders>
          </w:tcPr>
          <w:p w14:paraId="0474ED47" w14:textId="77777777" w:rsidR="00DA0E45" w:rsidRDefault="00DA0E45" w:rsidP="00342BA4">
            <w:pPr>
              <w:overflowPunct w:val="0"/>
              <w:autoSpaceDE w:val="0"/>
              <w:autoSpaceDN w:val="0"/>
              <w:adjustRightInd w:val="0"/>
              <w:jc w:val="center"/>
            </w:pPr>
            <w:r>
              <w:t> </w:t>
            </w:r>
          </w:p>
        </w:tc>
        <w:tc>
          <w:tcPr>
            <w:tcW w:w="4394" w:type="dxa"/>
            <w:tcBorders>
              <w:top w:val="nil"/>
              <w:left w:val="single" w:sz="4" w:space="0" w:color="auto"/>
              <w:bottom w:val="nil"/>
              <w:right w:val="single" w:sz="4" w:space="0" w:color="auto"/>
            </w:tcBorders>
          </w:tcPr>
          <w:p w14:paraId="14BF69E7" w14:textId="77777777" w:rsidR="00DA0E45" w:rsidRDefault="00DA0E45" w:rsidP="00342BA4">
            <w:pPr>
              <w:overflowPunct w:val="0"/>
              <w:autoSpaceDE w:val="0"/>
              <w:autoSpaceDN w:val="0"/>
              <w:adjustRightInd w:val="0"/>
              <w:jc w:val="both"/>
            </w:pPr>
            <w:r>
              <w:t>b) zawartość frakcji podstawowej, % m/m, nie</w:t>
            </w:r>
          </w:p>
          <w:p w14:paraId="0E4E83BC" w14:textId="77777777" w:rsidR="00DA0E45" w:rsidRDefault="00DA0E45" w:rsidP="00342BA4">
            <w:pPr>
              <w:overflowPunct w:val="0"/>
              <w:autoSpaceDE w:val="0"/>
              <w:autoSpaceDN w:val="0"/>
              <w:adjustRightInd w:val="0"/>
              <w:jc w:val="both"/>
            </w:pPr>
            <w:r>
              <w:t xml:space="preserve">    mniej niż:</w:t>
            </w:r>
          </w:p>
          <w:p w14:paraId="75207B57" w14:textId="77777777" w:rsidR="00DA0E45" w:rsidRDefault="00DA0E45" w:rsidP="00342BA4">
            <w:pPr>
              <w:overflowPunct w:val="0"/>
              <w:autoSpaceDE w:val="0"/>
              <w:autoSpaceDN w:val="0"/>
              <w:adjustRightInd w:val="0"/>
              <w:jc w:val="both"/>
            </w:pPr>
            <w:r>
              <w:t xml:space="preserve">    - w tłuczniu i w klińcu</w:t>
            </w:r>
          </w:p>
        </w:tc>
        <w:tc>
          <w:tcPr>
            <w:tcW w:w="1309" w:type="dxa"/>
            <w:tcBorders>
              <w:top w:val="nil"/>
              <w:left w:val="single" w:sz="4" w:space="0" w:color="auto"/>
              <w:bottom w:val="nil"/>
              <w:right w:val="single" w:sz="4" w:space="0" w:color="auto"/>
            </w:tcBorders>
          </w:tcPr>
          <w:p w14:paraId="7A28B3B6" w14:textId="77777777" w:rsidR="00DA0E45" w:rsidRDefault="00DA0E45" w:rsidP="00342BA4">
            <w:pPr>
              <w:overflowPunct w:val="0"/>
              <w:autoSpaceDE w:val="0"/>
              <w:autoSpaceDN w:val="0"/>
              <w:adjustRightInd w:val="0"/>
              <w:jc w:val="center"/>
            </w:pPr>
            <w:r>
              <w:t> </w:t>
            </w:r>
          </w:p>
          <w:p w14:paraId="068337BE" w14:textId="77777777" w:rsidR="00DA0E45" w:rsidRDefault="00DA0E45" w:rsidP="00342BA4">
            <w:pPr>
              <w:overflowPunct w:val="0"/>
              <w:autoSpaceDE w:val="0"/>
              <w:autoSpaceDN w:val="0"/>
              <w:adjustRightInd w:val="0"/>
              <w:jc w:val="center"/>
            </w:pPr>
            <w:r>
              <w:t> </w:t>
            </w:r>
          </w:p>
          <w:p w14:paraId="72FE39C7" w14:textId="77777777" w:rsidR="00DA0E45" w:rsidRDefault="00DA0E45" w:rsidP="00342BA4">
            <w:pPr>
              <w:overflowPunct w:val="0"/>
              <w:autoSpaceDE w:val="0"/>
              <w:autoSpaceDN w:val="0"/>
              <w:adjustRightInd w:val="0"/>
              <w:jc w:val="center"/>
            </w:pPr>
            <w:r>
              <w:t>75</w:t>
            </w:r>
          </w:p>
        </w:tc>
        <w:tc>
          <w:tcPr>
            <w:tcW w:w="1311" w:type="dxa"/>
            <w:tcBorders>
              <w:top w:val="nil"/>
              <w:left w:val="single" w:sz="4" w:space="0" w:color="auto"/>
              <w:bottom w:val="nil"/>
              <w:right w:val="single" w:sz="4" w:space="0" w:color="auto"/>
            </w:tcBorders>
          </w:tcPr>
          <w:p w14:paraId="1DFB8B9E" w14:textId="77777777" w:rsidR="00DA0E45" w:rsidRDefault="00DA0E45" w:rsidP="00342BA4">
            <w:pPr>
              <w:overflowPunct w:val="0"/>
              <w:autoSpaceDE w:val="0"/>
              <w:autoSpaceDN w:val="0"/>
              <w:adjustRightInd w:val="0"/>
              <w:jc w:val="center"/>
            </w:pPr>
            <w:r>
              <w:t> </w:t>
            </w:r>
          </w:p>
          <w:p w14:paraId="5627FDD8" w14:textId="77777777" w:rsidR="00DA0E45" w:rsidRDefault="00DA0E45" w:rsidP="00342BA4">
            <w:pPr>
              <w:overflowPunct w:val="0"/>
              <w:autoSpaceDE w:val="0"/>
              <w:autoSpaceDN w:val="0"/>
              <w:adjustRightInd w:val="0"/>
              <w:jc w:val="center"/>
            </w:pPr>
            <w:r>
              <w:t> </w:t>
            </w:r>
          </w:p>
          <w:p w14:paraId="57423251" w14:textId="77777777" w:rsidR="00DA0E45" w:rsidRDefault="00DA0E45" w:rsidP="00342BA4">
            <w:pPr>
              <w:overflowPunct w:val="0"/>
              <w:autoSpaceDE w:val="0"/>
              <w:autoSpaceDN w:val="0"/>
              <w:adjustRightInd w:val="0"/>
              <w:jc w:val="center"/>
            </w:pPr>
            <w:r>
              <w:t>65</w:t>
            </w:r>
          </w:p>
        </w:tc>
      </w:tr>
      <w:tr w:rsidR="00DA0E45" w14:paraId="59BAD02B" w14:textId="77777777" w:rsidTr="00342BA4">
        <w:tblPrEx>
          <w:tblCellMar>
            <w:top w:w="0" w:type="dxa"/>
            <w:bottom w:w="0" w:type="dxa"/>
          </w:tblCellMar>
        </w:tblPrEx>
        <w:trPr>
          <w:trHeight w:val="465"/>
        </w:trPr>
        <w:tc>
          <w:tcPr>
            <w:tcW w:w="496" w:type="dxa"/>
            <w:tcBorders>
              <w:top w:val="nil"/>
              <w:left w:val="single" w:sz="4" w:space="0" w:color="auto"/>
              <w:bottom w:val="nil"/>
              <w:right w:val="single" w:sz="4" w:space="0" w:color="auto"/>
            </w:tcBorders>
          </w:tcPr>
          <w:p w14:paraId="58B8EC15" w14:textId="77777777" w:rsidR="00DA0E45" w:rsidRDefault="00DA0E45" w:rsidP="00342BA4">
            <w:pPr>
              <w:overflowPunct w:val="0"/>
              <w:autoSpaceDE w:val="0"/>
              <w:autoSpaceDN w:val="0"/>
              <w:adjustRightInd w:val="0"/>
              <w:jc w:val="center"/>
            </w:pPr>
            <w:r>
              <w:t> </w:t>
            </w:r>
          </w:p>
        </w:tc>
        <w:tc>
          <w:tcPr>
            <w:tcW w:w="4394" w:type="dxa"/>
            <w:tcBorders>
              <w:top w:val="nil"/>
              <w:left w:val="single" w:sz="4" w:space="0" w:color="auto"/>
              <w:bottom w:val="nil"/>
              <w:right w:val="single" w:sz="4" w:space="0" w:color="auto"/>
            </w:tcBorders>
          </w:tcPr>
          <w:p w14:paraId="4945B82C" w14:textId="77777777" w:rsidR="00DA0E45" w:rsidRDefault="00DA0E45" w:rsidP="00342BA4">
            <w:pPr>
              <w:overflowPunct w:val="0"/>
              <w:autoSpaceDE w:val="0"/>
              <w:autoSpaceDN w:val="0"/>
              <w:adjustRightInd w:val="0"/>
              <w:jc w:val="both"/>
            </w:pPr>
            <w:r>
              <w:t>c) zawartość podziarna, % m/m, nie więcej niż:</w:t>
            </w:r>
          </w:p>
          <w:p w14:paraId="12B741F6" w14:textId="77777777" w:rsidR="00DA0E45" w:rsidRDefault="00DA0E45" w:rsidP="00342BA4">
            <w:pPr>
              <w:overflowPunct w:val="0"/>
              <w:autoSpaceDE w:val="0"/>
              <w:autoSpaceDN w:val="0"/>
              <w:adjustRightInd w:val="0"/>
              <w:jc w:val="both"/>
            </w:pPr>
            <w:r>
              <w:t xml:space="preserve">    - w tłuczniu i w klińcu</w:t>
            </w:r>
          </w:p>
        </w:tc>
        <w:tc>
          <w:tcPr>
            <w:tcW w:w="1309" w:type="dxa"/>
            <w:tcBorders>
              <w:top w:val="nil"/>
              <w:left w:val="single" w:sz="4" w:space="0" w:color="auto"/>
              <w:bottom w:val="nil"/>
              <w:right w:val="single" w:sz="4" w:space="0" w:color="auto"/>
            </w:tcBorders>
          </w:tcPr>
          <w:p w14:paraId="1B6A22E8" w14:textId="77777777" w:rsidR="00DA0E45" w:rsidRDefault="00DA0E45" w:rsidP="00342BA4">
            <w:pPr>
              <w:overflowPunct w:val="0"/>
              <w:autoSpaceDE w:val="0"/>
              <w:autoSpaceDN w:val="0"/>
              <w:adjustRightInd w:val="0"/>
              <w:jc w:val="center"/>
            </w:pPr>
            <w:r>
              <w:t> </w:t>
            </w:r>
          </w:p>
          <w:p w14:paraId="51C9DC05" w14:textId="77777777" w:rsidR="00DA0E45" w:rsidRDefault="00DA0E45" w:rsidP="00342BA4">
            <w:pPr>
              <w:overflowPunct w:val="0"/>
              <w:autoSpaceDE w:val="0"/>
              <w:autoSpaceDN w:val="0"/>
              <w:adjustRightInd w:val="0"/>
              <w:jc w:val="center"/>
            </w:pPr>
            <w:r>
              <w:t>15</w:t>
            </w:r>
          </w:p>
        </w:tc>
        <w:tc>
          <w:tcPr>
            <w:tcW w:w="1311" w:type="dxa"/>
            <w:tcBorders>
              <w:top w:val="nil"/>
              <w:left w:val="single" w:sz="4" w:space="0" w:color="auto"/>
              <w:bottom w:val="nil"/>
              <w:right w:val="single" w:sz="4" w:space="0" w:color="auto"/>
            </w:tcBorders>
          </w:tcPr>
          <w:p w14:paraId="480A9F6E" w14:textId="77777777" w:rsidR="00DA0E45" w:rsidRDefault="00DA0E45" w:rsidP="00342BA4">
            <w:pPr>
              <w:overflowPunct w:val="0"/>
              <w:autoSpaceDE w:val="0"/>
              <w:autoSpaceDN w:val="0"/>
              <w:adjustRightInd w:val="0"/>
              <w:jc w:val="center"/>
            </w:pPr>
            <w:r>
              <w:t> </w:t>
            </w:r>
          </w:p>
          <w:p w14:paraId="5A932337" w14:textId="77777777" w:rsidR="00DA0E45" w:rsidRDefault="00DA0E45" w:rsidP="00342BA4">
            <w:pPr>
              <w:overflowPunct w:val="0"/>
              <w:autoSpaceDE w:val="0"/>
              <w:autoSpaceDN w:val="0"/>
              <w:adjustRightInd w:val="0"/>
              <w:jc w:val="center"/>
            </w:pPr>
            <w:r>
              <w:t>25</w:t>
            </w:r>
          </w:p>
        </w:tc>
      </w:tr>
      <w:tr w:rsidR="00DA0E45" w14:paraId="3D3EDBA7" w14:textId="77777777" w:rsidTr="00342BA4">
        <w:tblPrEx>
          <w:tblCellMar>
            <w:top w:w="0" w:type="dxa"/>
            <w:bottom w:w="0" w:type="dxa"/>
          </w:tblCellMar>
        </w:tblPrEx>
        <w:trPr>
          <w:trHeight w:val="660"/>
        </w:trPr>
        <w:tc>
          <w:tcPr>
            <w:tcW w:w="496" w:type="dxa"/>
            <w:tcBorders>
              <w:top w:val="nil"/>
              <w:left w:val="single" w:sz="4" w:space="0" w:color="auto"/>
              <w:bottom w:val="single" w:sz="4" w:space="0" w:color="auto"/>
              <w:right w:val="single" w:sz="4" w:space="0" w:color="auto"/>
            </w:tcBorders>
          </w:tcPr>
          <w:p w14:paraId="6ED0DDA1" w14:textId="77777777" w:rsidR="00DA0E45" w:rsidRDefault="00DA0E45" w:rsidP="00342BA4">
            <w:pPr>
              <w:overflowPunct w:val="0"/>
              <w:autoSpaceDE w:val="0"/>
              <w:autoSpaceDN w:val="0"/>
              <w:adjustRightInd w:val="0"/>
              <w:jc w:val="center"/>
            </w:pPr>
            <w:r>
              <w:t> </w:t>
            </w:r>
          </w:p>
        </w:tc>
        <w:tc>
          <w:tcPr>
            <w:tcW w:w="4394" w:type="dxa"/>
            <w:tcBorders>
              <w:top w:val="nil"/>
              <w:left w:val="single" w:sz="4" w:space="0" w:color="auto"/>
              <w:bottom w:val="single" w:sz="4" w:space="0" w:color="auto"/>
              <w:right w:val="single" w:sz="4" w:space="0" w:color="auto"/>
            </w:tcBorders>
          </w:tcPr>
          <w:p w14:paraId="5DD36BC9" w14:textId="77777777" w:rsidR="00DA0E45" w:rsidRDefault="00DA0E45" w:rsidP="00342BA4">
            <w:pPr>
              <w:overflowPunct w:val="0"/>
              <w:autoSpaceDE w:val="0"/>
              <w:autoSpaceDN w:val="0"/>
              <w:adjustRightInd w:val="0"/>
              <w:jc w:val="both"/>
            </w:pPr>
            <w:r>
              <w:t>d) zawartość nadziarna, % m/m, nie więcej niż:</w:t>
            </w:r>
          </w:p>
          <w:p w14:paraId="12DAF96E" w14:textId="77777777" w:rsidR="00DA0E45" w:rsidRDefault="00DA0E45" w:rsidP="00342BA4">
            <w:pPr>
              <w:overflowPunct w:val="0"/>
              <w:autoSpaceDE w:val="0"/>
              <w:autoSpaceDN w:val="0"/>
              <w:adjustRightInd w:val="0"/>
              <w:jc w:val="both"/>
            </w:pPr>
            <w:r>
              <w:t xml:space="preserve">    - w tłuczniu i w klińcu</w:t>
            </w:r>
          </w:p>
        </w:tc>
        <w:tc>
          <w:tcPr>
            <w:tcW w:w="1309" w:type="dxa"/>
            <w:tcBorders>
              <w:top w:val="nil"/>
              <w:left w:val="single" w:sz="4" w:space="0" w:color="auto"/>
              <w:bottom w:val="single" w:sz="4" w:space="0" w:color="auto"/>
              <w:right w:val="single" w:sz="4" w:space="0" w:color="auto"/>
            </w:tcBorders>
          </w:tcPr>
          <w:p w14:paraId="759FAAA7" w14:textId="77777777" w:rsidR="00DA0E45" w:rsidRDefault="00DA0E45" w:rsidP="00342BA4">
            <w:pPr>
              <w:overflowPunct w:val="0"/>
              <w:autoSpaceDE w:val="0"/>
              <w:autoSpaceDN w:val="0"/>
              <w:adjustRightInd w:val="0"/>
              <w:jc w:val="center"/>
            </w:pPr>
            <w:r>
              <w:t> </w:t>
            </w:r>
          </w:p>
          <w:p w14:paraId="0962C3A1" w14:textId="77777777" w:rsidR="00DA0E45" w:rsidRDefault="00DA0E45" w:rsidP="00342BA4">
            <w:pPr>
              <w:overflowPunct w:val="0"/>
              <w:autoSpaceDE w:val="0"/>
              <w:autoSpaceDN w:val="0"/>
              <w:adjustRightInd w:val="0"/>
              <w:jc w:val="center"/>
            </w:pPr>
            <w:r>
              <w:t>15</w:t>
            </w:r>
          </w:p>
        </w:tc>
        <w:tc>
          <w:tcPr>
            <w:tcW w:w="1311" w:type="dxa"/>
            <w:tcBorders>
              <w:top w:val="nil"/>
              <w:left w:val="single" w:sz="4" w:space="0" w:color="auto"/>
              <w:bottom w:val="single" w:sz="4" w:space="0" w:color="auto"/>
              <w:right w:val="single" w:sz="4" w:space="0" w:color="auto"/>
            </w:tcBorders>
          </w:tcPr>
          <w:p w14:paraId="2CF7ADD0" w14:textId="77777777" w:rsidR="00DA0E45" w:rsidRDefault="00DA0E45" w:rsidP="00342BA4">
            <w:pPr>
              <w:overflowPunct w:val="0"/>
              <w:autoSpaceDE w:val="0"/>
              <w:autoSpaceDN w:val="0"/>
              <w:adjustRightInd w:val="0"/>
              <w:jc w:val="center"/>
            </w:pPr>
            <w:r>
              <w:t> </w:t>
            </w:r>
          </w:p>
          <w:p w14:paraId="34D3D27D" w14:textId="77777777" w:rsidR="00DA0E45" w:rsidRDefault="00DA0E45" w:rsidP="00342BA4">
            <w:pPr>
              <w:overflowPunct w:val="0"/>
              <w:autoSpaceDE w:val="0"/>
              <w:autoSpaceDN w:val="0"/>
              <w:adjustRightInd w:val="0"/>
              <w:jc w:val="center"/>
            </w:pPr>
            <w:r>
              <w:t>20</w:t>
            </w:r>
          </w:p>
        </w:tc>
      </w:tr>
      <w:tr w:rsidR="00DA0E45" w14:paraId="1DB5EBCB" w14:textId="77777777" w:rsidTr="00342BA4">
        <w:tblPrEx>
          <w:tblCellMar>
            <w:top w:w="0" w:type="dxa"/>
            <w:bottom w:w="0" w:type="dxa"/>
          </w:tblCellMar>
        </w:tblPrEx>
        <w:tc>
          <w:tcPr>
            <w:tcW w:w="496" w:type="dxa"/>
            <w:tcBorders>
              <w:top w:val="single" w:sz="4" w:space="0" w:color="auto"/>
              <w:left w:val="single" w:sz="4" w:space="0" w:color="auto"/>
              <w:bottom w:val="single" w:sz="6" w:space="0" w:color="auto"/>
              <w:right w:val="single" w:sz="4" w:space="0" w:color="auto"/>
            </w:tcBorders>
          </w:tcPr>
          <w:p w14:paraId="2F7D7221" w14:textId="77777777" w:rsidR="00DA0E45" w:rsidRDefault="00DA0E45" w:rsidP="00342BA4">
            <w:pPr>
              <w:overflowPunct w:val="0"/>
              <w:autoSpaceDE w:val="0"/>
              <w:autoSpaceDN w:val="0"/>
              <w:adjustRightInd w:val="0"/>
              <w:jc w:val="center"/>
            </w:pPr>
            <w:r>
              <w:t>2</w:t>
            </w:r>
          </w:p>
        </w:tc>
        <w:tc>
          <w:tcPr>
            <w:tcW w:w="4394" w:type="dxa"/>
            <w:tcBorders>
              <w:top w:val="single" w:sz="4" w:space="0" w:color="auto"/>
              <w:left w:val="single" w:sz="4" w:space="0" w:color="auto"/>
              <w:bottom w:val="single" w:sz="6" w:space="0" w:color="auto"/>
              <w:right w:val="single" w:sz="4" w:space="0" w:color="auto"/>
            </w:tcBorders>
          </w:tcPr>
          <w:p w14:paraId="7A903B5E" w14:textId="77777777" w:rsidR="00DA0E45" w:rsidRDefault="00DA0E45" w:rsidP="00342BA4">
            <w:pPr>
              <w:overflowPunct w:val="0"/>
              <w:autoSpaceDE w:val="0"/>
              <w:autoSpaceDN w:val="0"/>
              <w:adjustRightInd w:val="0"/>
              <w:jc w:val="both"/>
            </w:pPr>
            <w:r>
              <w:t>Zawartość zanieczyszczeń obcych, wg PN-B-06714-12 [1], % m/m, nie więcej niż:</w:t>
            </w:r>
          </w:p>
          <w:p w14:paraId="0A428E1F" w14:textId="77777777" w:rsidR="00DA0E45" w:rsidRDefault="00DA0E45" w:rsidP="00342BA4">
            <w:pPr>
              <w:overflowPunct w:val="0"/>
              <w:autoSpaceDE w:val="0"/>
              <w:autoSpaceDN w:val="0"/>
              <w:adjustRightInd w:val="0"/>
              <w:jc w:val="both"/>
            </w:pPr>
            <w:r>
              <w:t>- w tłuczniu i w klińcu</w:t>
            </w:r>
          </w:p>
        </w:tc>
        <w:tc>
          <w:tcPr>
            <w:tcW w:w="1309" w:type="dxa"/>
            <w:tcBorders>
              <w:top w:val="single" w:sz="4" w:space="0" w:color="auto"/>
              <w:left w:val="single" w:sz="4" w:space="0" w:color="auto"/>
              <w:bottom w:val="single" w:sz="6" w:space="0" w:color="auto"/>
              <w:right w:val="single" w:sz="4" w:space="0" w:color="auto"/>
            </w:tcBorders>
          </w:tcPr>
          <w:p w14:paraId="3652F03D" w14:textId="77777777" w:rsidR="00DA0E45" w:rsidRDefault="00DA0E45" w:rsidP="00342BA4">
            <w:pPr>
              <w:overflowPunct w:val="0"/>
              <w:autoSpaceDE w:val="0"/>
              <w:autoSpaceDN w:val="0"/>
              <w:adjustRightInd w:val="0"/>
              <w:jc w:val="center"/>
            </w:pPr>
            <w:r>
              <w:t> </w:t>
            </w:r>
          </w:p>
          <w:p w14:paraId="26D717BF" w14:textId="77777777" w:rsidR="00DA0E45" w:rsidRDefault="00DA0E45" w:rsidP="00342BA4">
            <w:pPr>
              <w:overflowPunct w:val="0"/>
              <w:autoSpaceDE w:val="0"/>
              <w:autoSpaceDN w:val="0"/>
              <w:adjustRightInd w:val="0"/>
              <w:jc w:val="center"/>
            </w:pPr>
            <w:r>
              <w:t> </w:t>
            </w:r>
          </w:p>
          <w:p w14:paraId="24B6CE15" w14:textId="77777777" w:rsidR="00DA0E45" w:rsidRDefault="00DA0E45" w:rsidP="00342BA4">
            <w:pPr>
              <w:overflowPunct w:val="0"/>
              <w:autoSpaceDE w:val="0"/>
              <w:autoSpaceDN w:val="0"/>
              <w:adjustRightInd w:val="0"/>
              <w:jc w:val="center"/>
            </w:pPr>
            <w:r>
              <w:t>0,2</w:t>
            </w:r>
          </w:p>
        </w:tc>
        <w:tc>
          <w:tcPr>
            <w:tcW w:w="1311" w:type="dxa"/>
            <w:tcBorders>
              <w:top w:val="single" w:sz="4" w:space="0" w:color="auto"/>
              <w:left w:val="single" w:sz="4" w:space="0" w:color="auto"/>
              <w:bottom w:val="single" w:sz="6" w:space="0" w:color="auto"/>
              <w:right w:val="single" w:sz="4" w:space="0" w:color="auto"/>
            </w:tcBorders>
          </w:tcPr>
          <w:p w14:paraId="140CD15A" w14:textId="77777777" w:rsidR="00DA0E45" w:rsidRDefault="00DA0E45" w:rsidP="00342BA4">
            <w:pPr>
              <w:overflowPunct w:val="0"/>
              <w:autoSpaceDE w:val="0"/>
              <w:autoSpaceDN w:val="0"/>
              <w:adjustRightInd w:val="0"/>
              <w:jc w:val="center"/>
            </w:pPr>
            <w:r>
              <w:t> </w:t>
            </w:r>
          </w:p>
          <w:p w14:paraId="4AC81561" w14:textId="77777777" w:rsidR="00DA0E45" w:rsidRDefault="00DA0E45" w:rsidP="00342BA4">
            <w:pPr>
              <w:overflowPunct w:val="0"/>
              <w:autoSpaceDE w:val="0"/>
              <w:autoSpaceDN w:val="0"/>
              <w:adjustRightInd w:val="0"/>
              <w:jc w:val="center"/>
            </w:pPr>
            <w:r>
              <w:t> </w:t>
            </w:r>
          </w:p>
          <w:p w14:paraId="78E9001A" w14:textId="77777777" w:rsidR="00DA0E45" w:rsidRDefault="00DA0E45" w:rsidP="00342BA4">
            <w:pPr>
              <w:overflowPunct w:val="0"/>
              <w:autoSpaceDE w:val="0"/>
              <w:autoSpaceDN w:val="0"/>
              <w:adjustRightInd w:val="0"/>
              <w:jc w:val="center"/>
            </w:pPr>
            <w:r>
              <w:t>0,3</w:t>
            </w:r>
          </w:p>
        </w:tc>
      </w:tr>
      <w:tr w:rsidR="00DA0E45" w14:paraId="5ED5264F" w14:textId="77777777" w:rsidTr="00342BA4">
        <w:tblPrEx>
          <w:tblCellMar>
            <w:top w:w="0" w:type="dxa"/>
            <w:bottom w:w="0" w:type="dxa"/>
          </w:tblCellMar>
        </w:tblPrEx>
        <w:tc>
          <w:tcPr>
            <w:tcW w:w="496" w:type="dxa"/>
            <w:tcBorders>
              <w:top w:val="single" w:sz="6" w:space="0" w:color="auto"/>
              <w:left w:val="single" w:sz="4" w:space="0" w:color="auto"/>
              <w:bottom w:val="single" w:sz="6" w:space="0" w:color="auto"/>
              <w:right w:val="single" w:sz="4" w:space="0" w:color="auto"/>
            </w:tcBorders>
          </w:tcPr>
          <w:p w14:paraId="67239872" w14:textId="77777777" w:rsidR="00DA0E45" w:rsidRDefault="00DA0E45" w:rsidP="00342BA4">
            <w:pPr>
              <w:overflowPunct w:val="0"/>
              <w:autoSpaceDE w:val="0"/>
              <w:autoSpaceDN w:val="0"/>
              <w:adjustRightInd w:val="0"/>
              <w:jc w:val="center"/>
            </w:pPr>
            <w:r>
              <w:t>3</w:t>
            </w:r>
          </w:p>
        </w:tc>
        <w:tc>
          <w:tcPr>
            <w:tcW w:w="4394" w:type="dxa"/>
            <w:tcBorders>
              <w:top w:val="single" w:sz="6" w:space="0" w:color="auto"/>
              <w:left w:val="single" w:sz="4" w:space="0" w:color="auto"/>
              <w:bottom w:val="single" w:sz="6" w:space="0" w:color="auto"/>
              <w:right w:val="single" w:sz="4" w:space="0" w:color="auto"/>
            </w:tcBorders>
          </w:tcPr>
          <w:p w14:paraId="5B9C351D" w14:textId="77777777" w:rsidR="00DA0E45" w:rsidRDefault="00DA0E45" w:rsidP="00342BA4">
            <w:pPr>
              <w:overflowPunct w:val="0"/>
              <w:autoSpaceDE w:val="0"/>
              <w:autoSpaceDN w:val="0"/>
              <w:adjustRightInd w:val="0"/>
              <w:jc w:val="both"/>
            </w:pPr>
            <w:r>
              <w:t xml:space="preserve">Zawartość </w:t>
            </w:r>
            <w:proofErr w:type="spellStart"/>
            <w:r>
              <w:t>ziarn</w:t>
            </w:r>
            <w:proofErr w:type="spellEnd"/>
            <w:r>
              <w:t xml:space="preserve"> nieforemnych, wg PN-B-06714-16 [3], % m/m, nie więcej niż:</w:t>
            </w:r>
          </w:p>
          <w:p w14:paraId="12AE825D" w14:textId="77777777" w:rsidR="00DA0E45" w:rsidRDefault="00DA0E45" w:rsidP="00342BA4">
            <w:pPr>
              <w:overflowPunct w:val="0"/>
              <w:autoSpaceDE w:val="0"/>
              <w:autoSpaceDN w:val="0"/>
              <w:adjustRightInd w:val="0"/>
              <w:jc w:val="both"/>
            </w:pPr>
            <w:r>
              <w:t>- w tłuczniu</w:t>
            </w:r>
          </w:p>
          <w:p w14:paraId="4BCBE1AE" w14:textId="77777777" w:rsidR="00DA0E45" w:rsidRDefault="00DA0E45" w:rsidP="00342BA4">
            <w:pPr>
              <w:overflowPunct w:val="0"/>
              <w:autoSpaceDE w:val="0"/>
              <w:autoSpaceDN w:val="0"/>
              <w:adjustRightInd w:val="0"/>
              <w:jc w:val="both"/>
            </w:pPr>
            <w:r>
              <w:t>- w klińcu</w:t>
            </w:r>
          </w:p>
        </w:tc>
        <w:tc>
          <w:tcPr>
            <w:tcW w:w="1309" w:type="dxa"/>
            <w:tcBorders>
              <w:top w:val="single" w:sz="6" w:space="0" w:color="auto"/>
              <w:left w:val="single" w:sz="4" w:space="0" w:color="auto"/>
              <w:bottom w:val="single" w:sz="6" w:space="0" w:color="auto"/>
              <w:right w:val="single" w:sz="4" w:space="0" w:color="auto"/>
            </w:tcBorders>
          </w:tcPr>
          <w:p w14:paraId="679DBD61" w14:textId="77777777" w:rsidR="00DA0E45" w:rsidRDefault="00DA0E45" w:rsidP="00342BA4">
            <w:pPr>
              <w:overflowPunct w:val="0"/>
              <w:autoSpaceDE w:val="0"/>
              <w:autoSpaceDN w:val="0"/>
              <w:adjustRightInd w:val="0"/>
              <w:jc w:val="center"/>
            </w:pPr>
            <w:r>
              <w:t> </w:t>
            </w:r>
          </w:p>
          <w:p w14:paraId="29772508" w14:textId="77777777" w:rsidR="00DA0E45" w:rsidRDefault="00DA0E45" w:rsidP="00342BA4">
            <w:pPr>
              <w:overflowPunct w:val="0"/>
              <w:autoSpaceDE w:val="0"/>
              <w:autoSpaceDN w:val="0"/>
              <w:adjustRightInd w:val="0"/>
              <w:jc w:val="center"/>
            </w:pPr>
            <w:r>
              <w:t> </w:t>
            </w:r>
          </w:p>
          <w:p w14:paraId="5AD461DF" w14:textId="77777777" w:rsidR="00DA0E45" w:rsidRDefault="00DA0E45" w:rsidP="00342BA4">
            <w:pPr>
              <w:overflowPunct w:val="0"/>
              <w:autoSpaceDE w:val="0"/>
              <w:autoSpaceDN w:val="0"/>
              <w:adjustRightInd w:val="0"/>
              <w:jc w:val="center"/>
            </w:pPr>
            <w:r>
              <w:t>40</w:t>
            </w:r>
          </w:p>
          <w:p w14:paraId="20BB8A2C" w14:textId="77777777" w:rsidR="00DA0E45" w:rsidRDefault="00DA0E45" w:rsidP="00342BA4">
            <w:pPr>
              <w:overflowPunct w:val="0"/>
              <w:autoSpaceDE w:val="0"/>
              <w:autoSpaceDN w:val="0"/>
              <w:adjustRightInd w:val="0"/>
              <w:jc w:val="center"/>
            </w:pPr>
            <w:r>
              <w:t>nie bada się</w:t>
            </w:r>
          </w:p>
        </w:tc>
        <w:tc>
          <w:tcPr>
            <w:tcW w:w="1311" w:type="dxa"/>
            <w:tcBorders>
              <w:top w:val="single" w:sz="6" w:space="0" w:color="auto"/>
              <w:left w:val="single" w:sz="4" w:space="0" w:color="auto"/>
              <w:bottom w:val="single" w:sz="6" w:space="0" w:color="auto"/>
              <w:right w:val="single" w:sz="4" w:space="0" w:color="auto"/>
            </w:tcBorders>
          </w:tcPr>
          <w:p w14:paraId="55B06B83" w14:textId="77777777" w:rsidR="00DA0E45" w:rsidRDefault="00DA0E45" w:rsidP="00342BA4">
            <w:pPr>
              <w:overflowPunct w:val="0"/>
              <w:autoSpaceDE w:val="0"/>
              <w:autoSpaceDN w:val="0"/>
              <w:adjustRightInd w:val="0"/>
              <w:jc w:val="center"/>
            </w:pPr>
            <w:r>
              <w:t> </w:t>
            </w:r>
          </w:p>
          <w:p w14:paraId="6C195CE6" w14:textId="77777777" w:rsidR="00DA0E45" w:rsidRDefault="00DA0E45" w:rsidP="00342BA4">
            <w:pPr>
              <w:overflowPunct w:val="0"/>
              <w:autoSpaceDE w:val="0"/>
              <w:autoSpaceDN w:val="0"/>
              <w:adjustRightInd w:val="0"/>
              <w:jc w:val="center"/>
            </w:pPr>
            <w:r>
              <w:t> </w:t>
            </w:r>
          </w:p>
          <w:p w14:paraId="240DDB5E" w14:textId="77777777" w:rsidR="00DA0E45" w:rsidRDefault="00DA0E45" w:rsidP="00342BA4">
            <w:pPr>
              <w:overflowPunct w:val="0"/>
              <w:autoSpaceDE w:val="0"/>
              <w:autoSpaceDN w:val="0"/>
              <w:adjustRightInd w:val="0"/>
              <w:jc w:val="center"/>
            </w:pPr>
            <w:r>
              <w:t>45</w:t>
            </w:r>
          </w:p>
          <w:p w14:paraId="42A569B5" w14:textId="77777777" w:rsidR="00DA0E45" w:rsidRDefault="00DA0E45" w:rsidP="00342BA4">
            <w:pPr>
              <w:overflowPunct w:val="0"/>
              <w:autoSpaceDE w:val="0"/>
              <w:autoSpaceDN w:val="0"/>
              <w:adjustRightInd w:val="0"/>
              <w:jc w:val="center"/>
            </w:pPr>
            <w:r>
              <w:t>nie bada się</w:t>
            </w:r>
          </w:p>
        </w:tc>
      </w:tr>
      <w:tr w:rsidR="00DA0E45" w14:paraId="0E4FC9DD" w14:textId="77777777" w:rsidTr="00342BA4">
        <w:tblPrEx>
          <w:tblCellMar>
            <w:top w:w="0" w:type="dxa"/>
            <w:bottom w:w="0" w:type="dxa"/>
          </w:tblCellMar>
        </w:tblPrEx>
        <w:tc>
          <w:tcPr>
            <w:tcW w:w="496" w:type="dxa"/>
            <w:tcBorders>
              <w:top w:val="single" w:sz="6" w:space="0" w:color="auto"/>
              <w:left w:val="single" w:sz="4" w:space="0" w:color="auto"/>
              <w:bottom w:val="single" w:sz="6" w:space="0" w:color="auto"/>
              <w:right w:val="single" w:sz="4" w:space="0" w:color="auto"/>
            </w:tcBorders>
          </w:tcPr>
          <w:p w14:paraId="322B9192" w14:textId="77777777" w:rsidR="00DA0E45" w:rsidRDefault="00DA0E45" w:rsidP="00342BA4">
            <w:pPr>
              <w:overflowPunct w:val="0"/>
              <w:autoSpaceDE w:val="0"/>
              <w:autoSpaceDN w:val="0"/>
              <w:adjustRightInd w:val="0"/>
              <w:jc w:val="center"/>
            </w:pPr>
            <w:r>
              <w:t>4</w:t>
            </w:r>
          </w:p>
        </w:tc>
        <w:tc>
          <w:tcPr>
            <w:tcW w:w="4394" w:type="dxa"/>
            <w:tcBorders>
              <w:top w:val="single" w:sz="6" w:space="0" w:color="auto"/>
              <w:left w:val="single" w:sz="4" w:space="0" w:color="auto"/>
              <w:bottom w:val="single" w:sz="6" w:space="0" w:color="auto"/>
              <w:right w:val="single" w:sz="6" w:space="0" w:color="auto"/>
            </w:tcBorders>
          </w:tcPr>
          <w:p w14:paraId="4C7C64F5" w14:textId="77777777" w:rsidR="00DA0E45" w:rsidRDefault="00DA0E45" w:rsidP="00342BA4">
            <w:pPr>
              <w:overflowPunct w:val="0"/>
              <w:autoSpaceDE w:val="0"/>
              <w:autoSpaceDN w:val="0"/>
              <w:adjustRightInd w:val="0"/>
              <w:jc w:val="both"/>
            </w:pPr>
            <w:r>
              <w:t>Zawartość zanieczyszczeń organicznych, barwa cieczy wg PN-B-06714-26 [6]:</w:t>
            </w:r>
          </w:p>
          <w:p w14:paraId="5B39D974" w14:textId="77777777" w:rsidR="00DA0E45" w:rsidRDefault="00DA0E45" w:rsidP="00342BA4">
            <w:pPr>
              <w:overflowPunct w:val="0"/>
              <w:autoSpaceDE w:val="0"/>
              <w:autoSpaceDN w:val="0"/>
              <w:adjustRightInd w:val="0"/>
              <w:jc w:val="both"/>
            </w:pPr>
            <w:r>
              <w:t xml:space="preserve">- w tłuczniu i w klińcu, barwa cieczy nie ciemniejsza </w:t>
            </w:r>
          </w:p>
          <w:p w14:paraId="555817CC" w14:textId="77777777" w:rsidR="00DA0E45" w:rsidRDefault="00DA0E45" w:rsidP="00342BA4">
            <w:pPr>
              <w:overflowPunct w:val="0"/>
              <w:autoSpaceDE w:val="0"/>
              <w:autoSpaceDN w:val="0"/>
              <w:adjustRightInd w:val="0"/>
              <w:jc w:val="both"/>
            </w:pPr>
            <w:r>
              <w:t xml:space="preserve">   niż:</w:t>
            </w:r>
          </w:p>
        </w:tc>
        <w:tc>
          <w:tcPr>
            <w:tcW w:w="2620" w:type="dxa"/>
            <w:gridSpan w:val="2"/>
            <w:tcBorders>
              <w:top w:val="single" w:sz="6" w:space="0" w:color="auto"/>
              <w:left w:val="single" w:sz="6" w:space="0" w:color="auto"/>
              <w:bottom w:val="single" w:sz="6" w:space="0" w:color="auto"/>
              <w:right w:val="single" w:sz="6" w:space="0" w:color="auto"/>
            </w:tcBorders>
          </w:tcPr>
          <w:p w14:paraId="2F95D317" w14:textId="77777777" w:rsidR="00DA0E45" w:rsidRDefault="00DA0E45" w:rsidP="00342BA4">
            <w:pPr>
              <w:overflowPunct w:val="0"/>
              <w:autoSpaceDE w:val="0"/>
              <w:autoSpaceDN w:val="0"/>
              <w:adjustRightInd w:val="0"/>
              <w:jc w:val="center"/>
            </w:pPr>
            <w:r>
              <w:t> </w:t>
            </w:r>
          </w:p>
          <w:p w14:paraId="21CFD500" w14:textId="77777777" w:rsidR="00DA0E45" w:rsidRDefault="00DA0E45" w:rsidP="00342BA4">
            <w:pPr>
              <w:overflowPunct w:val="0"/>
              <w:autoSpaceDE w:val="0"/>
              <w:autoSpaceDN w:val="0"/>
              <w:adjustRightInd w:val="0"/>
              <w:jc w:val="center"/>
            </w:pPr>
            <w:r>
              <w:t> </w:t>
            </w:r>
          </w:p>
          <w:p w14:paraId="3D2B2AF4" w14:textId="77777777" w:rsidR="00DA0E45" w:rsidRDefault="00DA0E45" w:rsidP="00342BA4">
            <w:pPr>
              <w:overflowPunct w:val="0"/>
              <w:autoSpaceDE w:val="0"/>
              <w:autoSpaceDN w:val="0"/>
              <w:adjustRightInd w:val="0"/>
              <w:jc w:val="center"/>
            </w:pPr>
            <w:r>
              <w:t> </w:t>
            </w:r>
          </w:p>
          <w:p w14:paraId="3C1BB732" w14:textId="77777777" w:rsidR="00DA0E45" w:rsidRDefault="00DA0E45" w:rsidP="00342BA4">
            <w:pPr>
              <w:overflowPunct w:val="0"/>
              <w:autoSpaceDE w:val="0"/>
              <w:autoSpaceDN w:val="0"/>
              <w:adjustRightInd w:val="0"/>
              <w:jc w:val="center"/>
            </w:pPr>
            <w:r>
              <w:t>wzorcowa</w:t>
            </w:r>
          </w:p>
        </w:tc>
      </w:tr>
    </w:tbl>
    <w:p w14:paraId="25FFEED1" w14:textId="77777777" w:rsidR="00DA0E45" w:rsidRDefault="00DA0E45" w:rsidP="00DA0E45">
      <w:pPr>
        <w:overflowPunct w:val="0"/>
        <w:autoSpaceDE w:val="0"/>
        <w:autoSpaceDN w:val="0"/>
        <w:adjustRightInd w:val="0"/>
        <w:jc w:val="both"/>
        <w:rPr>
          <w:b/>
        </w:rPr>
      </w:pPr>
      <w:r>
        <w:t> </w:t>
      </w:r>
    </w:p>
    <w:p w14:paraId="66797EFF" w14:textId="77777777" w:rsidR="00DA0E45" w:rsidRDefault="00DA0E45" w:rsidP="00DA0E45">
      <w:pPr>
        <w:keepNext/>
        <w:overflowPunct w:val="0"/>
        <w:autoSpaceDE w:val="0"/>
        <w:autoSpaceDN w:val="0"/>
        <w:adjustRightInd w:val="0"/>
        <w:spacing w:before="120" w:after="120"/>
        <w:jc w:val="both"/>
        <w:outlineLvl w:val="1"/>
        <w:rPr>
          <w:b/>
        </w:rPr>
      </w:pPr>
      <w:r>
        <w:rPr>
          <w:b/>
        </w:rPr>
        <w:lastRenderedPageBreak/>
        <w:t>2.4. Woda</w:t>
      </w:r>
    </w:p>
    <w:p w14:paraId="5E09E9E1" w14:textId="77777777" w:rsidR="00DA0E45" w:rsidRDefault="00DA0E45" w:rsidP="00DA0E45">
      <w:pPr>
        <w:overflowPunct w:val="0"/>
        <w:autoSpaceDE w:val="0"/>
        <w:autoSpaceDN w:val="0"/>
        <w:adjustRightInd w:val="0"/>
        <w:jc w:val="both"/>
      </w:pPr>
      <w:r>
        <w:tab/>
        <w:t>Woda użyta przy wykonywaniu zagęszczania i klinowania podbudowy może być studzienna lub z wodociągu, bez specjalnych wymagań.</w:t>
      </w:r>
    </w:p>
    <w:p w14:paraId="3D5E567F"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4" w:name="_Toc423398332"/>
      <w:bookmarkStart w:id="5" w:name="_Toc505404895"/>
      <w:r>
        <w:rPr>
          <w:b/>
          <w:caps/>
          <w:kern w:val="28"/>
        </w:rPr>
        <w:t>3. sprzęt</w:t>
      </w:r>
      <w:bookmarkEnd w:id="4"/>
      <w:bookmarkEnd w:id="5"/>
    </w:p>
    <w:p w14:paraId="67292658" w14:textId="77777777" w:rsidR="00DA0E45" w:rsidRDefault="00DA0E45" w:rsidP="00DA0E45">
      <w:pPr>
        <w:keepNext/>
        <w:overflowPunct w:val="0"/>
        <w:autoSpaceDE w:val="0"/>
        <w:autoSpaceDN w:val="0"/>
        <w:adjustRightInd w:val="0"/>
        <w:spacing w:before="120" w:after="120"/>
        <w:jc w:val="both"/>
        <w:outlineLvl w:val="1"/>
        <w:rPr>
          <w:b/>
        </w:rPr>
      </w:pPr>
      <w:r>
        <w:rPr>
          <w:b/>
        </w:rPr>
        <w:t>3.1. Ogólne wymagania dotyczące sprzętu</w:t>
      </w:r>
    </w:p>
    <w:p w14:paraId="30B0E080" w14:textId="77777777" w:rsidR="00DA0E45" w:rsidRDefault="00DA0E45" w:rsidP="00DA0E45">
      <w:pPr>
        <w:overflowPunct w:val="0"/>
        <w:autoSpaceDE w:val="0"/>
        <w:autoSpaceDN w:val="0"/>
        <w:adjustRightInd w:val="0"/>
        <w:jc w:val="both"/>
      </w:pPr>
      <w:r>
        <w:tab/>
        <w:t>Ogólne wymagania dotyczące sprzętu podano w SST D-M-00.00.00 „Wymagania ogólne” pkt 3.</w:t>
      </w:r>
    </w:p>
    <w:p w14:paraId="0CA162DF" w14:textId="77777777" w:rsidR="00DA0E45" w:rsidRDefault="00DA0E45" w:rsidP="00DA0E45">
      <w:pPr>
        <w:keepNext/>
        <w:overflowPunct w:val="0"/>
        <w:autoSpaceDE w:val="0"/>
        <w:autoSpaceDN w:val="0"/>
        <w:adjustRightInd w:val="0"/>
        <w:spacing w:before="120" w:after="120"/>
        <w:jc w:val="both"/>
        <w:outlineLvl w:val="1"/>
        <w:rPr>
          <w:b/>
        </w:rPr>
      </w:pPr>
      <w:r>
        <w:rPr>
          <w:b/>
        </w:rPr>
        <w:t>3.2. Sprzęt do wykonania robót</w:t>
      </w:r>
    </w:p>
    <w:p w14:paraId="265ACCB8" w14:textId="77777777" w:rsidR="00DA0E45" w:rsidRDefault="00DA0E45" w:rsidP="00DA0E45">
      <w:pPr>
        <w:overflowPunct w:val="0"/>
        <w:autoSpaceDE w:val="0"/>
        <w:autoSpaceDN w:val="0"/>
        <w:adjustRightInd w:val="0"/>
        <w:jc w:val="both"/>
      </w:pPr>
      <w:r>
        <w:tab/>
        <w:t>Wykonawca przystępujący do wykonania podbudowy z tłucznia kamiennego powinien wykazać się możliwością korzystania z następującego sprzętu:</w:t>
      </w:r>
    </w:p>
    <w:p w14:paraId="046C822B" w14:textId="77777777" w:rsidR="00DA0E45" w:rsidRDefault="00DA0E45" w:rsidP="00DA0E45">
      <w:pPr>
        <w:overflowPunct w:val="0"/>
        <w:autoSpaceDE w:val="0"/>
        <w:autoSpaceDN w:val="0"/>
        <w:adjustRightInd w:val="0"/>
        <w:jc w:val="both"/>
      </w:pPr>
      <w:r>
        <w:t>a)</w:t>
      </w:r>
      <w:r>
        <w:rPr>
          <w:sz w:val="14"/>
        </w:rPr>
        <w:t xml:space="preserve">     </w:t>
      </w:r>
      <w:r>
        <w:t>równiarek lub układarek kruszywa do rozkładania tłucznia i klińca,</w:t>
      </w:r>
    </w:p>
    <w:p w14:paraId="51CA5E7F" w14:textId="77777777" w:rsidR="00DA0E45" w:rsidRDefault="00DA0E45" w:rsidP="00DA0E45">
      <w:pPr>
        <w:overflowPunct w:val="0"/>
        <w:autoSpaceDE w:val="0"/>
        <w:autoSpaceDN w:val="0"/>
        <w:adjustRightInd w:val="0"/>
        <w:jc w:val="both"/>
      </w:pPr>
      <w:r>
        <w:t>b)</w:t>
      </w:r>
      <w:r>
        <w:rPr>
          <w:sz w:val="14"/>
        </w:rPr>
        <w:t xml:space="preserve">    </w:t>
      </w:r>
      <w:proofErr w:type="spellStart"/>
      <w:r>
        <w:t>rozsypywarek</w:t>
      </w:r>
      <w:proofErr w:type="spellEnd"/>
      <w:r>
        <w:t xml:space="preserve"> kruszywa do rozłożenia klińca,</w:t>
      </w:r>
    </w:p>
    <w:p w14:paraId="5B9814CA" w14:textId="77777777" w:rsidR="00DA0E45" w:rsidRDefault="00DA0E45" w:rsidP="00DA0E45">
      <w:pPr>
        <w:overflowPunct w:val="0"/>
        <w:autoSpaceDE w:val="0"/>
        <w:autoSpaceDN w:val="0"/>
        <w:adjustRightInd w:val="0"/>
        <w:jc w:val="both"/>
      </w:pPr>
      <w:r>
        <w:t>c)</w:t>
      </w:r>
      <w:r>
        <w:rPr>
          <w:sz w:val="14"/>
        </w:rPr>
        <w:t xml:space="preserve">     </w:t>
      </w:r>
      <w:r>
        <w:t>walców statycznych gładkich do zagęszczania kruszywa grubego,</w:t>
      </w:r>
    </w:p>
    <w:p w14:paraId="74625D60" w14:textId="77777777" w:rsidR="00DA0E45" w:rsidRDefault="00DA0E45" w:rsidP="00DA0E45">
      <w:pPr>
        <w:overflowPunct w:val="0"/>
        <w:autoSpaceDE w:val="0"/>
        <w:autoSpaceDN w:val="0"/>
        <w:adjustRightInd w:val="0"/>
        <w:jc w:val="both"/>
      </w:pPr>
      <w:r>
        <w:t>d)</w:t>
      </w:r>
      <w:r>
        <w:rPr>
          <w:sz w:val="14"/>
        </w:rPr>
        <w:t xml:space="preserve">    </w:t>
      </w:r>
      <w:r>
        <w:t>walców wibracyjnych lub wibracyjnych zagęszczarek płytowych do klinowania kruszywa grubego klińcem,</w:t>
      </w:r>
    </w:p>
    <w:p w14:paraId="7CA51D77" w14:textId="77777777" w:rsidR="00DA0E45" w:rsidRDefault="00DA0E45" w:rsidP="00DA0E45">
      <w:pPr>
        <w:overflowPunct w:val="0"/>
        <w:autoSpaceDE w:val="0"/>
        <w:autoSpaceDN w:val="0"/>
        <w:adjustRightInd w:val="0"/>
        <w:jc w:val="both"/>
      </w:pPr>
      <w:r>
        <w:t>e)</w:t>
      </w:r>
      <w:r>
        <w:rPr>
          <w:sz w:val="14"/>
        </w:rPr>
        <w:t xml:space="preserve">     </w:t>
      </w:r>
      <w:r>
        <w:t>szczotek mechanicznych do usunięcia nadmiaru klińca,</w:t>
      </w:r>
    </w:p>
    <w:p w14:paraId="65684627" w14:textId="77777777" w:rsidR="00DA0E45" w:rsidRDefault="00DA0E45" w:rsidP="00DA0E45">
      <w:pPr>
        <w:overflowPunct w:val="0"/>
        <w:autoSpaceDE w:val="0"/>
        <w:autoSpaceDN w:val="0"/>
        <w:adjustRightInd w:val="0"/>
        <w:jc w:val="both"/>
      </w:pPr>
      <w:r>
        <w:t>f)</w:t>
      </w:r>
      <w:r>
        <w:rPr>
          <w:sz w:val="14"/>
        </w:rPr>
        <w:t xml:space="preserve">      </w:t>
      </w:r>
      <w:r>
        <w:t>walców ogumionych lub stalowych gładkich do końcowego dogęszczenia,</w:t>
      </w:r>
    </w:p>
    <w:p w14:paraId="6C5843F8" w14:textId="77777777" w:rsidR="00DA0E45" w:rsidRDefault="00DA0E45" w:rsidP="00DA0E45">
      <w:pPr>
        <w:overflowPunct w:val="0"/>
        <w:autoSpaceDE w:val="0"/>
        <w:autoSpaceDN w:val="0"/>
        <w:adjustRightInd w:val="0"/>
        <w:jc w:val="both"/>
      </w:pPr>
      <w:r>
        <w:t>g)</w:t>
      </w:r>
      <w:r>
        <w:rPr>
          <w:sz w:val="14"/>
        </w:rPr>
        <w:t xml:space="preserve">    </w:t>
      </w:r>
      <w:r>
        <w:t>przewoźnych zbiorników do wody zaopatrzonych w urządzenia do rozpryskiwania wody.</w:t>
      </w:r>
    </w:p>
    <w:p w14:paraId="11348053"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6" w:name="_Toc423398333"/>
      <w:bookmarkStart w:id="7" w:name="_Toc505404896"/>
      <w:r>
        <w:rPr>
          <w:b/>
          <w:caps/>
          <w:kern w:val="28"/>
        </w:rPr>
        <w:t>4. transport</w:t>
      </w:r>
      <w:bookmarkEnd w:id="6"/>
      <w:bookmarkEnd w:id="7"/>
    </w:p>
    <w:p w14:paraId="262BB41D" w14:textId="77777777" w:rsidR="00DA0E45" w:rsidRDefault="00DA0E45" w:rsidP="00DA0E45">
      <w:pPr>
        <w:keepNext/>
        <w:overflowPunct w:val="0"/>
        <w:autoSpaceDE w:val="0"/>
        <w:autoSpaceDN w:val="0"/>
        <w:adjustRightInd w:val="0"/>
        <w:spacing w:before="120" w:after="120"/>
        <w:jc w:val="both"/>
        <w:outlineLvl w:val="1"/>
        <w:rPr>
          <w:b/>
        </w:rPr>
      </w:pPr>
      <w:r>
        <w:rPr>
          <w:b/>
        </w:rPr>
        <w:t>4.1. Ogólne wymagania dotyczące transportu</w:t>
      </w:r>
    </w:p>
    <w:p w14:paraId="75A98CB5" w14:textId="77777777" w:rsidR="00DA0E45" w:rsidRDefault="00DA0E45" w:rsidP="00DA0E45">
      <w:pPr>
        <w:keepNext/>
        <w:overflowPunct w:val="0"/>
        <w:autoSpaceDE w:val="0"/>
        <w:autoSpaceDN w:val="0"/>
        <w:adjustRightInd w:val="0"/>
        <w:spacing w:before="120" w:after="120"/>
        <w:jc w:val="both"/>
        <w:outlineLvl w:val="1"/>
      </w:pPr>
      <w:r>
        <w:tab/>
        <w:t>Ogólne wymagania dotyczące transportu podano w SST D-M-00.00.00 „Wymagania ogólne” pkt 4.</w:t>
      </w:r>
    </w:p>
    <w:p w14:paraId="0487E33C" w14:textId="77777777" w:rsidR="00DA0E45" w:rsidRDefault="00DA0E45" w:rsidP="00DA0E45">
      <w:pPr>
        <w:keepNext/>
        <w:overflowPunct w:val="0"/>
        <w:autoSpaceDE w:val="0"/>
        <w:autoSpaceDN w:val="0"/>
        <w:adjustRightInd w:val="0"/>
        <w:spacing w:before="120" w:after="120"/>
        <w:jc w:val="both"/>
        <w:outlineLvl w:val="1"/>
        <w:rPr>
          <w:b/>
        </w:rPr>
      </w:pPr>
      <w:r>
        <w:rPr>
          <w:b/>
        </w:rPr>
        <w:t>4.2. Transport kruszywa</w:t>
      </w:r>
    </w:p>
    <w:p w14:paraId="6C25226D" w14:textId="77777777" w:rsidR="00DA0E45" w:rsidRDefault="00DA0E45" w:rsidP="00DA0E45">
      <w:pPr>
        <w:overflowPunct w:val="0"/>
        <w:autoSpaceDE w:val="0"/>
        <w:autoSpaceDN w:val="0"/>
        <w:adjustRightInd w:val="0"/>
        <w:jc w:val="both"/>
      </w:pPr>
      <w:r>
        <w:tab/>
        <w:t>Kruszywa można przewozić dowolnymi środkami transportu w warunkach zabezpieczających je przed zanieczyszczeniem, zmieszaniem z innymi materiałami, nadmiernym wysuszeniem i zawilgoceniem.</w:t>
      </w:r>
    </w:p>
    <w:p w14:paraId="67A6A130"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8" w:name="_Toc423398334"/>
      <w:bookmarkStart w:id="9" w:name="_Toc505404897"/>
      <w:r>
        <w:rPr>
          <w:b/>
          <w:caps/>
          <w:kern w:val="28"/>
        </w:rPr>
        <w:t>5. wykonanie robót</w:t>
      </w:r>
      <w:bookmarkEnd w:id="8"/>
      <w:bookmarkEnd w:id="9"/>
    </w:p>
    <w:p w14:paraId="7E82965C" w14:textId="77777777" w:rsidR="00DA0E45" w:rsidRDefault="00DA0E45" w:rsidP="00DA0E45">
      <w:pPr>
        <w:keepNext/>
        <w:overflowPunct w:val="0"/>
        <w:autoSpaceDE w:val="0"/>
        <w:autoSpaceDN w:val="0"/>
        <w:adjustRightInd w:val="0"/>
        <w:spacing w:before="120" w:after="120"/>
        <w:jc w:val="both"/>
        <w:outlineLvl w:val="1"/>
        <w:rPr>
          <w:b/>
        </w:rPr>
      </w:pPr>
      <w:r>
        <w:rPr>
          <w:b/>
        </w:rPr>
        <w:t>5.1. Ogólne zasady wykonania robót</w:t>
      </w:r>
    </w:p>
    <w:p w14:paraId="72CF4526" w14:textId="77777777" w:rsidR="00DA0E45" w:rsidRDefault="00DA0E45" w:rsidP="00DA0E45">
      <w:pPr>
        <w:overflowPunct w:val="0"/>
        <w:autoSpaceDE w:val="0"/>
        <w:autoSpaceDN w:val="0"/>
        <w:adjustRightInd w:val="0"/>
        <w:jc w:val="both"/>
      </w:pPr>
      <w:r>
        <w:tab/>
        <w:t>Ogólne zasady wykonania robót podano w SST D-M-00.00.00 „Wymagania ogólne” pkt 5.</w:t>
      </w:r>
    </w:p>
    <w:p w14:paraId="149CBB38" w14:textId="77777777" w:rsidR="00DA0E45" w:rsidRDefault="00DA0E45" w:rsidP="00DA0E45">
      <w:pPr>
        <w:keepNext/>
        <w:overflowPunct w:val="0"/>
        <w:autoSpaceDE w:val="0"/>
        <w:autoSpaceDN w:val="0"/>
        <w:adjustRightInd w:val="0"/>
        <w:spacing w:before="120" w:after="120"/>
        <w:jc w:val="both"/>
        <w:outlineLvl w:val="1"/>
        <w:rPr>
          <w:b/>
        </w:rPr>
      </w:pPr>
      <w:r>
        <w:rPr>
          <w:b/>
        </w:rPr>
        <w:t>5.2. Przygotowanie podłoża</w:t>
      </w:r>
    </w:p>
    <w:p w14:paraId="5BC702EC" w14:textId="77777777" w:rsidR="00DA0E45" w:rsidRDefault="00DA0E45" w:rsidP="00DA0E45">
      <w:pPr>
        <w:overflowPunct w:val="0"/>
        <w:autoSpaceDE w:val="0"/>
        <w:autoSpaceDN w:val="0"/>
        <w:adjustRightInd w:val="0"/>
        <w:jc w:val="both"/>
      </w:pPr>
      <w:r>
        <w:tab/>
        <w:t>Podłoże pod podbudowę tłuczniową powinno spełniać wymagania określone w SST D-04.01.01 „Koryto wraz z profilowaniem i zagęszczeniem podłoża”.</w:t>
      </w:r>
    </w:p>
    <w:p w14:paraId="7CC7FEAF" w14:textId="77777777" w:rsidR="00DA0E45" w:rsidRDefault="00DA0E45" w:rsidP="00DA0E45">
      <w:pPr>
        <w:overflowPunct w:val="0"/>
        <w:autoSpaceDE w:val="0"/>
        <w:autoSpaceDN w:val="0"/>
        <w:adjustRightInd w:val="0"/>
        <w:jc w:val="both"/>
      </w:pPr>
      <w:r>
        <w:tab/>
        <w:t>Podbudowa tłuczniowa powinna być ułożona na podłożu zapewniającym nieprzenikanie drobnych cząstek gruntu do warstwy podbudowy. Na gruncie spoistym, pod podbudową tłuczniową powinna być ułożona warstwa odcinająca lub wykonane ulepszenie podłoża.</w:t>
      </w:r>
    </w:p>
    <w:p w14:paraId="1F826F72" w14:textId="77777777" w:rsidR="00DA0E45" w:rsidRDefault="00DA0E45" w:rsidP="00DA0E45">
      <w:pPr>
        <w:overflowPunct w:val="0"/>
        <w:autoSpaceDE w:val="0"/>
        <w:autoSpaceDN w:val="0"/>
        <w:adjustRightInd w:val="0"/>
        <w:jc w:val="both"/>
      </w:pPr>
      <w:r>
        <w:tab/>
        <w:t>W przypadku zastosowania pomiędzy warstwą podbudowy tłuczniowej a spoistym gruntem podłoża warstwy odcinającej albo odsączającej, powinien być spełniony warunek nieprzenikania cząstek drobnych, wyrażony wzorem:</w:t>
      </w:r>
    </w:p>
    <w:p w14:paraId="69FA233B" w14:textId="160226A7" w:rsidR="00DA0E45" w:rsidRDefault="00DA0E45" w:rsidP="00DA0E45">
      <w:pPr>
        <w:overflowPunct w:val="0"/>
        <w:autoSpaceDE w:val="0"/>
        <w:autoSpaceDN w:val="0"/>
        <w:adjustRightInd w:val="0"/>
      </w:pPr>
      <w:r>
        <w:rPr>
          <w:noProof/>
          <w:vertAlign w:val="subscript"/>
        </w:rPr>
        <w:drawing>
          <wp:inline distT="0" distB="0" distL="0" distR="0" wp14:anchorId="02E9360D" wp14:editId="65DE236E">
            <wp:extent cx="533400" cy="466725"/>
            <wp:effectExtent l="0" t="0" r="0" b="9525"/>
            <wp:docPr id="202130353"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p w14:paraId="3C267ED4" w14:textId="77777777" w:rsidR="00DA0E45" w:rsidRDefault="00DA0E45" w:rsidP="00DA0E45">
      <w:pPr>
        <w:overflowPunct w:val="0"/>
        <w:autoSpaceDE w:val="0"/>
        <w:autoSpaceDN w:val="0"/>
        <w:adjustRightInd w:val="0"/>
        <w:jc w:val="both"/>
      </w:pPr>
      <w:r>
        <w:t>gdzie:</w:t>
      </w:r>
      <w:r>
        <w:tab/>
      </w:r>
      <w:r>
        <w:rPr>
          <w:i/>
        </w:rPr>
        <w:t>D</w:t>
      </w:r>
      <w:r>
        <w:rPr>
          <w:vertAlign w:val="subscript"/>
        </w:rPr>
        <w:t>15</w:t>
      </w:r>
      <w:r>
        <w:t xml:space="preserve"> - wymiar sita, przez które przechodzi 15% </w:t>
      </w:r>
      <w:proofErr w:type="spellStart"/>
      <w:r>
        <w:t>ziarn</w:t>
      </w:r>
      <w:proofErr w:type="spellEnd"/>
      <w:r>
        <w:t xml:space="preserve"> warstwy odcinającej albo odsączającej,</w:t>
      </w:r>
    </w:p>
    <w:p w14:paraId="2BDC502D" w14:textId="77777777" w:rsidR="00DA0E45" w:rsidRDefault="00DA0E45" w:rsidP="00DA0E45">
      <w:pPr>
        <w:overflowPunct w:val="0"/>
        <w:autoSpaceDE w:val="0"/>
        <w:autoSpaceDN w:val="0"/>
        <w:adjustRightInd w:val="0"/>
        <w:ind w:firstLine="709"/>
        <w:jc w:val="both"/>
      </w:pPr>
      <w:r>
        <w:rPr>
          <w:i/>
        </w:rPr>
        <w:t>d</w:t>
      </w:r>
      <w:r>
        <w:rPr>
          <w:vertAlign w:val="subscript"/>
        </w:rPr>
        <w:t xml:space="preserve">85 </w:t>
      </w:r>
      <w:r>
        <w:t xml:space="preserve"> - wymiar sita, przez które przechodzi 85% </w:t>
      </w:r>
      <w:proofErr w:type="spellStart"/>
      <w:r>
        <w:t>ziarn</w:t>
      </w:r>
      <w:proofErr w:type="spellEnd"/>
      <w:r>
        <w:t xml:space="preserve"> gruntu podłoża.</w:t>
      </w:r>
    </w:p>
    <w:p w14:paraId="3DFC9AED" w14:textId="77777777" w:rsidR="00DA0E45" w:rsidRDefault="00DA0E45" w:rsidP="00DA0E45">
      <w:pPr>
        <w:overflowPunct w:val="0"/>
        <w:autoSpaceDE w:val="0"/>
        <w:autoSpaceDN w:val="0"/>
        <w:adjustRightInd w:val="0"/>
        <w:jc w:val="both"/>
      </w:pPr>
      <w:r>
        <w:tab/>
        <w:t>Geowłókniny przewidziane do użycia pod podbudowę tłuczniową powinny posiadać aprobatę techniczną wydaną przez uprawnioną jednostkę. W szczególności wymagana jest odpowiednia wytrzymałość mechaniczna geowłóknin, uniemożliwiająca ich przebicie ziarna tłucznia oraz odpowiednie właściwości filtracyjne, dostosowane do uziarnienia podłoża gruntowego.</w:t>
      </w:r>
    </w:p>
    <w:p w14:paraId="1ED04201" w14:textId="77777777" w:rsidR="00DA0E45" w:rsidRDefault="00DA0E45" w:rsidP="00DA0E45">
      <w:pPr>
        <w:overflowPunct w:val="0"/>
        <w:autoSpaceDE w:val="0"/>
        <w:autoSpaceDN w:val="0"/>
        <w:adjustRightInd w:val="0"/>
        <w:jc w:val="both"/>
      </w:pPr>
      <w:r>
        <w:t>Podbudowa powinna być wytyczona w sposób umożliwiający jej wykonanie zgodnie z dokumentacją projektową lub według zaleceń Inżyniera, z tolerancjami określonymi w niniejszych specyfikacjach.</w:t>
      </w:r>
    </w:p>
    <w:p w14:paraId="3680D3EA" w14:textId="77777777" w:rsidR="00DA0E45" w:rsidRDefault="00DA0E45" w:rsidP="00DA0E45">
      <w:pPr>
        <w:overflowPunct w:val="0"/>
        <w:autoSpaceDE w:val="0"/>
        <w:autoSpaceDN w:val="0"/>
        <w:adjustRightInd w:val="0"/>
        <w:jc w:val="both"/>
      </w:pPr>
      <w:r>
        <w:t>Paliki lub szpilki do prawidłowego ukształtowania podbudowy powinny być wcześniej przygotowane.</w:t>
      </w:r>
    </w:p>
    <w:p w14:paraId="074E90A7" w14:textId="77777777" w:rsidR="00DA0E45" w:rsidRDefault="00DA0E45" w:rsidP="00DA0E45">
      <w:pPr>
        <w:overflowPunct w:val="0"/>
        <w:autoSpaceDE w:val="0"/>
        <w:autoSpaceDN w:val="0"/>
        <w:adjustRightInd w:val="0"/>
        <w:jc w:val="both"/>
      </w:pPr>
      <w:r>
        <w:t>Paliki lub szpilki powinny być ustawione w osi drogi i w rzędach równoległych do osi drogi lub w inny sposób zaakceptowany przez Inżyniera.</w:t>
      </w:r>
    </w:p>
    <w:p w14:paraId="6C100592" w14:textId="77777777" w:rsidR="00DA0E45" w:rsidRDefault="00DA0E45" w:rsidP="00DA0E45">
      <w:pPr>
        <w:overflowPunct w:val="0"/>
        <w:autoSpaceDE w:val="0"/>
        <w:autoSpaceDN w:val="0"/>
        <w:adjustRightInd w:val="0"/>
        <w:jc w:val="both"/>
      </w:pPr>
      <w:r>
        <w:t xml:space="preserve">Rozmieszczenie palików lub szpilek powinno umożliwiać naciągnięcie sznurków lub linek do wytyczenia robót w odstępach nie większych niż co </w:t>
      </w:r>
      <w:smartTag w:uri="urn:schemas-microsoft-com:office:smarttags" w:element="metricconverter">
        <w:smartTagPr>
          <w:attr w:name="ProductID" w:val="10 m"/>
        </w:smartTagPr>
        <w:r>
          <w:t>10 m</w:t>
        </w:r>
      </w:smartTag>
      <w:r>
        <w:t>.</w:t>
      </w:r>
    </w:p>
    <w:p w14:paraId="3DB2A701" w14:textId="77777777" w:rsidR="00DA0E45" w:rsidRDefault="00DA0E45" w:rsidP="00DA0E45">
      <w:pPr>
        <w:keepNext/>
        <w:overflowPunct w:val="0"/>
        <w:autoSpaceDE w:val="0"/>
        <w:autoSpaceDN w:val="0"/>
        <w:adjustRightInd w:val="0"/>
        <w:spacing w:before="120" w:after="120"/>
        <w:jc w:val="both"/>
        <w:outlineLvl w:val="1"/>
        <w:rPr>
          <w:b/>
        </w:rPr>
      </w:pPr>
      <w:r>
        <w:rPr>
          <w:b/>
        </w:rPr>
        <w:lastRenderedPageBreak/>
        <w:t>5.3. Wbudowywanie i zagęszczanie kruszywa</w:t>
      </w:r>
    </w:p>
    <w:p w14:paraId="09BD99AC" w14:textId="77777777" w:rsidR="00DA0E45" w:rsidRDefault="00DA0E45" w:rsidP="00DA0E45">
      <w:pPr>
        <w:overflowPunct w:val="0"/>
        <w:autoSpaceDE w:val="0"/>
        <w:autoSpaceDN w:val="0"/>
        <w:adjustRightInd w:val="0"/>
        <w:jc w:val="both"/>
      </w:pPr>
      <w:r>
        <w:t xml:space="preserve">Minimalna grubość warstwy podbudowy z tłucznia nie może być po zagęszczeniu mniejsza od 1,5-krotnego wymiaru największych </w:t>
      </w:r>
      <w:proofErr w:type="spellStart"/>
      <w:r>
        <w:t>ziarn</w:t>
      </w:r>
      <w:proofErr w:type="spellEnd"/>
      <w:r>
        <w:t xml:space="preserve"> tłucznia. Maksymalna grubość warstwy podbudowy po zagęszczeniu nie może przekraczać </w:t>
      </w:r>
      <w:smartTag w:uri="urn:schemas-microsoft-com:office:smarttags" w:element="metricconverter">
        <w:smartTagPr>
          <w:attr w:name="ProductID" w:val="20 cm"/>
        </w:smartTagPr>
        <w:r>
          <w:t>20 cm</w:t>
        </w:r>
      </w:smartTag>
      <w:r>
        <w:t xml:space="preserve">. Podbudowę o grubości powyżej </w:t>
      </w:r>
      <w:smartTag w:uri="urn:schemas-microsoft-com:office:smarttags" w:element="metricconverter">
        <w:smartTagPr>
          <w:attr w:name="ProductID" w:val="20 cm"/>
        </w:smartTagPr>
        <w:r>
          <w:t>20 cm</w:t>
        </w:r>
      </w:smartTag>
      <w:r>
        <w:t xml:space="preserve"> należy wykonywać w dwóch warstwach.</w:t>
      </w:r>
    </w:p>
    <w:p w14:paraId="49BD19D3" w14:textId="77777777" w:rsidR="00DA0E45" w:rsidRDefault="00DA0E45" w:rsidP="00DA0E45">
      <w:pPr>
        <w:overflowPunct w:val="0"/>
        <w:autoSpaceDE w:val="0"/>
        <w:autoSpaceDN w:val="0"/>
        <w:adjustRightInd w:val="0"/>
        <w:jc w:val="both"/>
      </w:pPr>
      <w:r>
        <w:tab/>
        <w:t>Kruszywo grube powinno być rozłożone w warstwie o jednakowej grubości, przy użyciu układarki albo równiarki. Grubość rozłożonej warstwy luźnego kruszywa powinna być taka, aby po jej zagęszczeniu i zaklinowaniu osiągnęła grubość projektowaną.</w:t>
      </w:r>
    </w:p>
    <w:p w14:paraId="76949249" w14:textId="77777777" w:rsidR="00DA0E45" w:rsidRDefault="00DA0E45" w:rsidP="00DA0E45">
      <w:pPr>
        <w:overflowPunct w:val="0"/>
        <w:autoSpaceDE w:val="0"/>
        <w:autoSpaceDN w:val="0"/>
        <w:adjustRightInd w:val="0"/>
        <w:jc w:val="both"/>
      </w:pPr>
      <w:r>
        <w:t xml:space="preserve">Kruszywo grube po rozłożeniu powinno być przywałowane dwoma przejściami walca statycznego, gładkiego o nacisku jednostkowym nie mniejszym niż 30 </w:t>
      </w:r>
      <w:proofErr w:type="spellStart"/>
      <w:r>
        <w:t>kN</w:t>
      </w:r>
      <w:proofErr w:type="spellEnd"/>
      <w:r>
        <w:t>/m. Zagęszczanie podbudowy o przekroju daszkowym powinno rozpocząć się od krawędzi i stopniowo przesuwać się pasami podłużnymi, częściowo nakładającymi się w kierunku osi jezdni. Zagęszczenie podbudowy o jednostronnym spadku poprzecznym powinno rozpocząć się od dolnej krawędzi i przesuwać się pasami podłużnymi, częściowo nakładającymi się, w kierunku jej górnej krawędzi.</w:t>
      </w:r>
    </w:p>
    <w:p w14:paraId="3CBCE42B" w14:textId="77777777" w:rsidR="00DA0E45" w:rsidRDefault="00DA0E45" w:rsidP="00DA0E45">
      <w:pPr>
        <w:overflowPunct w:val="0"/>
        <w:autoSpaceDE w:val="0"/>
        <w:autoSpaceDN w:val="0"/>
        <w:adjustRightInd w:val="0"/>
        <w:jc w:val="both"/>
      </w:pPr>
      <w:r>
        <w:tab/>
        <w:t xml:space="preserve">W przypadku wykonywania podbudowy zasadniczej, po przywałowaniu kruszywa grubego należy rozłożyć kruszywo drobne w równej warstwie, w celu zaklinowania kruszywa grubego. Do zagęszczania należy użyć walca wibracyjnego o nacisku jednostkowym co najmniej 18 </w:t>
      </w:r>
      <w:proofErr w:type="spellStart"/>
      <w:r>
        <w:t>kN</w:t>
      </w:r>
      <w:proofErr w:type="spellEnd"/>
      <w:r>
        <w:t xml:space="preserve">/m, albo płytową zagęszczarką wibracyjną o nacisku jednostkowym co najmniej 16 </w:t>
      </w:r>
      <w:proofErr w:type="spellStart"/>
      <w:r>
        <w:t>kN</w:t>
      </w:r>
      <w:proofErr w:type="spellEnd"/>
      <w:r>
        <w:t>/m</w:t>
      </w:r>
      <w:r>
        <w:rPr>
          <w:vertAlign w:val="superscript"/>
        </w:rPr>
        <w:t>2</w:t>
      </w:r>
      <w:r>
        <w:t xml:space="preserve">. Grubość warstwy luźnego kruszywa drobnego powinna być taka, aby wszystkie przestrzenie warstwy kruszywa grubego zostały wypełnione kruszywem drobnym. Jeżeli to konieczne, operacje rozkładania i </w:t>
      </w:r>
      <w:proofErr w:type="spellStart"/>
      <w:r>
        <w:t>wwibrowywanie</w:t>
      </w:r>
      <w:proofErr w:type="spellEnd"/>
      <w:r>
        <w:t xml:space="preserve"> kruszywa drobnego należy powtarzać aż do chwili, gdy kruszywo drobne przestanie penetrować warstwę kruszywa grubego.</w:t>
      </w:r>
    </w:p>
    <w:p w14:paraId="358A23F5" w14:textId="77777777" w:rsidR="00DA0E45" w:rsidRDefault="00DA0E45" w:rsidP="00DA0E45">
      <w:pPr>
        <w:overflowPunct w:val="0"/>
        <w:autoSpaceDE w:val="0"/>
        <w:autoSpaceDN w:val="0"/>
        <w:adjustRightInd w:val="0"/>
        <w:jc w:val="both"/>
      </w:pPr>
      <w:r>
        <w:t xml:space="preserve">Po zagęszczeniu cały nadmiar kruszywa drobnego należy usunąć z podbudowy szczotkami tak, aby ziarna kruszywa grubego wystawały nad powierzchnię od 3 do </w:t>
      </w:r>
      <w:smartTag w:uri="urn:schemas-microsoft-com:office:smarttags" w:element="metricconverter">
        <w:smartTagPr>
          <w:attr w:name="ProductID" w:val="6 mm"/>
        </w:smartTagPr>
        <w:r>
          <w:t>6 mm</w:t>
        </w:r>
      </w:smartTag>
      <w:r>
        <w:t>.</w:t>
      </w:r>
    </w:p>
    <w:p w14:paraId="0F923BC8" w14:textId="77777777" w:rsidR="00DA0E45" w:rsidRDefault="00DA0E45" w:rsidP="00DA0E45">
      <w:pPr>
        <w:overflowPunct w:val="0"/>
        <w:autoSpaceDE w:val="0"/>
        <w:autoSpaceDN w:val="0"/>
        <w:adjustRightInd w:val="0"/>
        <w:jc w:val="both"/>
      </w:pPr>
      <w:r>
        <w:t xml:space="preserve">Następnie warstwa powinna być przywałowana walcem statycznym gładkim o nacisku jednostkowym nie mniejszym niż 50 </w:t>
      </w:r>
      <w:proofErr w:type="spellStart"/>
      <w:r>
        <w:t>kN</w:t>
      </w:r>
      <w:proofErr w:type="spellEnd"/>
      <w:r>
        <w:t>/m, albo walcem ogumionym w celu dogęszczenia kruszywa poluzowanego w czasie szczotkowania.</w:t>
      </w:r>
    </w:p>
    <w:p w14:paraId="780C2FF5" w14:textId="77777777" w:rsidR="00DA0E45" w:rsidRDefault="00DA0E45" w:rsidP="00DA0E45">
      <w:pPr>
        <w:keepNext/>
        <w:overflowPunct w:val="0"/>
        <w:autoSpaceDE w:val="0"/>
        <w:autoSpaceDN w:val="0"/>
        <w:adjustRightInd w:val="0"/>
        <w:spacing w:before="120" w:after="120"/>
        <w:jc w:val="both"/>
        <w:outlineLvl w:val="1"/>
        <w:rPr>
          <w:b/>
        </w:rPr>
      </w:pPr>
      <w:r>
        <w:rPr>
          <w:b/>
        </w:rPr>
        <w:t>5.4. Odcinek próbny</w:t>
      </w:r>
    </w:p>
    <w:p w14:paraId="0698D513" w14:textId="77777777" w:rsidR="00DA0E45" w:rsidRDefault="00DA0E45" w:rsidP="00DA0E45">
      <w:pPr>
        <w:overflowPunct w:val="0"/>
        <w:autoSpaceDE w:val="0"/>
        <w:autoSpaceDN w:val="0"/>
        <w:adjustRightInd w:val="0"/>
        <w:jc w:val="both"/>
      </w:pPr>
      <w:r>
        <w:tab/>
        <w:t>Jeżeli w SST przewidziano konieczność wykonania odcinka próbnego, to co najmniej na 3 dni przed rozpoczęciem robót, Wykonawca powinien wykonać odcinek próbny w celu:</w:t>
      </w:r>
    </w:p>
    <w:p w14:paraId="3032F22D"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stwierdzenia czy sprzęt budowlany do rozkładania i zagęszczania kruszywa jest właściwy,</w:t>
      </w:r>
    </w:p>
    <w:p w14:paraId="2D816BA2"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określenia grubości warstwy materiału w stanie luźnym koniecznej do uzyskania wymaganej grubości warstwy po zagęszczeniu,</w:t>
      </w:r>
    </w:p>
    <w:p w14:paraId="590B0409"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ustalenia liczby przejść sprzętu zagęszczającego, potrzebnej do uzyskania wymaganego wskaźnika zagęszczenia.</w:t>
      </w:r>
    </w:p>
    <w:p w14:paraId="16A6B379" w14:textId="77777777" w:rsidR="00DA0E45" w:rsidRDefault="00DA0E45" w:rsidP="00DA0E45">
      <w:pPr>
        <w:overflowPunct w:val="0"/>
        <w:autoSpaceDE w:val="0"/>
        <w:autoSpaceDN w:val="0"/>
        <w:adjustRightInd w:val="0"/>
        <w:jc w:val="both"/>
      </w:pPr>
      <w:r>
        <w:t>Na odcinku próbnym Wykonawca powinien użyć takich materiałów oraz sprzętu do rozkładania i zagęszczania,  jakie będą stosowane do wykonania podbudowy.</w:t>
      </w:r>
    </w:p>
    <w:p w14:paraId="143FF982" w14:textId="77777777" w:rsidR="00DA0E45" w:rsidRDefault="00DA0E45" w:rsidP="00DA0E45">
      <w:pPr>
        <w:overflowPunct w:val="0"/>
        <w:autoSpaceDE w:val="0"/>
        <w:autoSpaceDN w:val="0"/>
        <w:adjustRightInd w:val="0"/>
        <w:jc w:val="both"/>
      </w:pPr>
      <w:r>
        <w:t xml:space="preserve">Powierzchnia odcinka próbnego powinna wynosić od </w:t>
      </w:r>
      <w:smartTag w:uri="urn:schemas-microsoft-com:office:smarttags" w:element="metricconverter">
        <w:smartTagPr>
          <w:attr w:name="ProductID" w:val="400 m2"/>
        </w:smartTagPr>
        <w:r>
          <w:t>400 m</w:t>
        </w:r>
        <w:r>
          <w:rPr>
            <w:vertAlign w:val="superscript"/>
          </w:rPr>
          <w:t>2</w:t>
        </w:r>
      </w:smartTag>
      <w:r>
        <w:t xml:space="preserve"> do </w:t>
      </w:r>
      <w:smartTag w:uri="urn:schemas-microsoft-com:office:smarttags" w:element="metricconverter">
        <w:smartTagPr>
          <w:attr w:name="ProductID" w:val="800 m2"/>
        </w:smartTagPr>
        <w:r>
          <w:t>800 m</w:t>
        </w:r>
        <w:r>
          <w:rPr>
            <w:vertAlign w:val="superscript"/>
          </w:rPr>
          <w:t>2</w:t>
        </w:r>
      </w:smartTag>
      <w:r>
        <w:t xml:space="preserve">, a długość nie powinna być mniejsza niż </w:t>
      </w:r>
      <w:smartTag w:uri="urn:schemas-microsoft-com:office:smarttags" w:element="metricconverter">
        <w:smartTagPr>
          <w:attr w:name="ProductID" w:val="200 m"/>
        </w:smartTagPr>
        <w:r>
          <w:t>200 m</w:t>
        </w:r>
      </w:smartTag>
      <w:r>
        <w:t>. Odcinek próbny powinien być zlokalizowany w miejscu wskazanym przez Inżyniera.</w:t>
      </w:r>
    </w:p>
    <w:p w14:paraId="7553ADD1" w14:textId="77777777" w:rsidR="00DA0E45" w:rsidRDefault="00DA0E45" w:rsidP="00DA0E45">
      <w:pPr>
        <w:overflowPunct w:val="0"/>
        <w:autoSpaceDE w:val="0"/>
        <w:autoSpaceDN w:val="0"/>
        <w:adjustRightInd w:val="0"/>
        <w:jc w:val="both"/>
      </w:pPr>
      <w:r>
        <w:t>Wykonawca może przystąpić do wykonywania podbudowy po zaakceptowaniu odcinka próbnego przez Inżyniera.</w:t>
      </w:r>
      <w:r>
        <w:tab/>
      </w:r>
    </w:p>
    <w:p w14:paraId="2640109B" w14:textId="77777777" w:rsidR="00DA0E45" w:rsidRDefault="00DA0E45" w:rsidP="00DA0E45">
      <w:pPr>
        <w:keepNext/>
        <w:overflowPunct w:val="0"/>
        <w:autoSpaceDE w:val="0"/>
        <w:autoSpaceDN w:val="0"/>
        <w:adjustRightInd w:val="0"/>
        <w:spacing w:before="120" w:after="120"/>
        <w:jc w:val="both"/>
        <w:outlineLvl w:val="1"/>
        <w:rPr>
          <w:b/>
        </w:rPr>
      </w:pPr>
      <w:r>
        <w:rPr>
          <w:b/>
        </w:rPr>
        <w:t>5.5. Utrzymanie podbudowy</w:t>
      </w:r>
    </w:p>
    <w:p w14:paraId="02C9D085" w14:textId="77777777" w:rsidR="00DA0E45" w:rsidRDefault="00DA0E45" w:rsidP="00DA0E45">
      <w:pPr>
        <w:overflowPunct w:val="0"/>
        <w:autoSpaceDE w:val="0"/>
        <w:autoSpaceDN w:val="0"/>
        <w:adjustRightInd w:val="0"/>
        <w:jc w:val="both"/>
      </w:pPr>
      <w:r>
        <w:tab/>
        <w:t>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w:t>
      </w:r>
    </w:p>
    <w:p w14:paraId="1351395D"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10" w:name="_Toc505404898"/>
      <w:r>
        <w:rPr>
          <w:b/>
          <w:caps/>
          <w:kern w:val="28"/>
        </w:rPr>
        <w:t>6. kontrola jakości robót</w:t>
      </w:r>
      <w:bookmarkEnd w:id="10"/>
    </w:p>
    <w:p w14:paraId="2E125D5C" w14:textId="77777777" w:rsidR="00DA0E45" w:rsidRDefault="00DA0E45" w:rsidP="00DA0E45">
      <w:pPr>
        <w:keepNext/>
        <w:overflowPunct w:val="0"/>
        <w:autoSpaceDE w:val="0"/>
        <w:autoSpaceDN w:val="0"/>
        <w:adjustRightInd w:val="0"/>
        <w:spacing w:before="120" w:after="120"/>
        <w:jc w:val="both"/>
        <w:outlineLvl w:val="1"/>
        <w:rPr>
          <w:b/>
        </w:rPr>
      </w:pPr>
      <w:r>
        <w:rPr>
          <w:b/>
        </w:rPr>
        <w:t>6.1. Ogólne zasady kontroli jakości robót</w:t>
      </w:r>
    </w:p>
    <w:p w14:paraId="11946239" w14:textId="77777777" w:rsidR="00DA0E45" w:rsidRDefault="00DA0E45" w:rsidP="00DA0E45">
      <w:pPr>
        <w:overflowPunct w:val="0"/>
        <w:autoSpaceDE w:val="0"/>
        <w:autoSpaceDN w:val="0"/>
        <w:adjustRightInd w:val="0"/>
        <w:jc w:val="both"/>
      </w:pPr>
      <w:r>
        <w:tab/>
        <w:t>Ogólne zasady kontroli jakości robót podano w SST D-M-00.00.00 „Wymagania ogólne” pkt 6.</w:t>
      </w:r>
    </w:p>
    <w:p w14:paraId="0488E958" w14:textId="77777777" w:rsidR="00DA0E45" w:rsidRDefault="00DA0E45" w:rsidP="00DA0E45">
      <w:pPr>
        <w:keepNext/>
        <w:overflowPunct w:val="0"/>
        <w:autoSpaceDE w:val="0"/>
        <w:autoSpaceDN w:val="0"/>
        <w:adjustRightInd w:val="0"/>
        <w:spacing w:before="120" w:after="120"/>
        <w:jc w:val="both"/>
        <w:outlineLvl w:val="1"/>
        <w:rPr>
          <w:b/>
        </w:rPr>
      </w:pPr>
      <w:r>
        <w:rPr>
          <w:b/>
        </w:rPr>
        <w:t>6.2. Badania przed przystąpieniem do robót</w:t>
      </w:r>
    </w:p>
    <w:p w14:paraId="136C9722" w14:textId="77777777" w:rsidR="00DA0E45" w:rsidRDefault="00DA0E45" w:rsidP="00DA0E45">
      <w:pPr>
        <w:overflowPunct w:val="0"/>
        <w:autoSpaceDE w:val="0"/>
        <w:autoSpaceDN w:val="0"/>
        <w:adjustRightInd w:val="0"/>
        <w:jc w:val="both"/>
      </w:pPr>
      <w:r>
        <w:tab/>
        <w:t>Przed przystąpieniem do robót Wykonawca powinien wykonać badania kruszyw przeznaczonych do wykonania robót i przedstawić wyniki tych badań Inżynierowi w celu akceptacji.</w:t>
      </w:r>
    </w:p>
    <w:p w14:paraId="47EEB5BD" w14:textId="77777777" w:rsidR="00DA0E45" w:rsidRDefault="00DA0E45" w:rsidP="00DA0E45">
      <w:pPr>
        <w:overflowPunct w:val="0"/>
        <w:autoSpaceDE w:val="0"/>
        <w:autoSpaceDN w:val="0"/>
        <w:adjustRightInd w:val="0"/>
        <w:jc w:val="both"/>
      </w:pPr>
      <w:r>
        <w:tab/>
        <w:t>Badania te powinny obejmować wszystkie właściwości kruszywa określone w pkt 2.3 i tablicach 1 i 2 niniejszych SST.</w:t>
      </w:r>
    </w:p>
    <w:p w14:paraId="2BBEEAF4" w14:textId="77777777" w:rsidR="00DA0E45" w:rsidRDefault="00DA0E45" w:rsidP="00DA0E45">
      <w:pPr>
        <w:keepNext/>
        <w:overflowPunct w:val="0"/>
        <w:autoSpaceDE w:val="0"/>
        <w:autoSpaceDN w:val="0"/>
        <w:adjustRightInd w:val="0"/>
        <w:spacing w:before="120" w:after="120"/>
        <w:jc w:val="both"/>
        <w:outlineLvl w:val="1"/>
        <w:rPr>
          <w:b/>
        </w:rPr>
      </w:pPr>
      <w:r>
        <w:rPr>
          <w:b/>
        </w:rPr>
        <w:t>6.3. Badania w czasie robót</w:t>
      </w:r>
    </w:p>
    <w:p w14:paraId="56485D91" w14:textId="77777777" w:rsidR="00DA0E45" w:rsidRDefault="00DA0E45" w:rsidP="00DA0E45">
      <w:pPr>
        <w:overflowPunct w:val="0"/>
        <w:autoSpaceDE w:val="0"/>
        <w:autoSpaceDN w:val="0"/>
        <w:adjustRightInd w:val="0"/>
        <w:jc w:val="both"/>
      </w:pPr>
      <w:r>
        <w:rPr>
          <w:b/>
        </w:rPr>
        <w:t xml:space="preserve">6.3.1. </w:t>
      </w:r>
      <w:r>
        <w:t>Częstotliwość oraz zakres badań i pomiarów</w:t>
      </w:r>
    </w:p>
    <w:p w14:paraId="313A7618" w14:textId="77777777" w:rsidR="00DA0E45" w:rsidRDefault="00DA0E45" w:rsidP="00DA0E45">
      <w:pPr>
        <w:overflowPunct w:val="0"/>
        <w:autoSpaceDE w:val="0"/>
        <w:autoSpaceDN w:val="0"/>
        <w:adjustRightInd w:val="0"/>
        <w:spacing w:before="120"/>
        <w:jc w:val="both"/>
      </w:pPr>
      <w:r>
        <w:lastRenderedPageBreak/>
        <w:tab/>
        <w:t>Częstotliwość oraz zakres badań podano w tablicy 3.</w:t>
      </w:r>
    </w:p>
    <w:p w14:paraId="2AD13835" w14:textId="77777777" w:rsidR="00DA0E45" w:rsidRDefault="00DA0E45" w:rsidP="00DA0E45">
      <w:pPr>
        <w:overflowPunct w:val="0"/>
        <w:autoSpaceDE w:val="0"/>
        <w:autoSpaceDN w:val="0"/>
        <w:adjustRightInd w:val="0"/>
        <w:spacing w:after="120"/>
        <w:jc w:val="both"/>
        <w:rPr>
          <w:i/>
        </w:rPr>
      </w:pPr>
    </w:p>
    <w:p w14:paraId="376619A7" w14:textId="77777777" w:rsidR="00DA0E45" w:rsidRDefault="00DA0E45" w:rsidP="00DA0E45">
      <w:pPr>
        <w:overflowPunct w:val="0"/>
        <w:autoSpaceDE w:val="0"/>
        <w:autoSpaceDN w:val="0"/>
        <w:adjustRightInd w:val="0"/>
        <w:spacing w:after="120"/>
        <w:jc w:val="both"/>
        <w:rPr>
          <w:i/>
        </w:rPr>
      </w:pPr>
      <w:r>
        <w:rPr>
          <w:i/>
        </w:rPr>
        <w:t>Tablica 3.Częstotliwość oraz zakres badań przy budowie podbudowy z tłucznia kamiennego</w:t>
      </w:r>
    </w:p>
    <w:tbl>
      <w:tblPr>
        <w:tblW w:w="0" w:type="auto"/>
        <w:tblInd w:w="1069" w:type="dxa"/>
        <w:tblLayout w:type="fixed"/>
        <w:tblCellMar>
          <w:left w:w="70" w:type="dxa"/>
          <w:right w:w="70" w:type="dxa"/>
        </w:tblCellMar>
        <w:tblLook w:val="0000" w:firstRow="0" w:lastRow="0" w:firstColumn="0" w:lastColumn="0" w:noHBand="0" w:noVBand="0"/>
      </w:tblPr>
      <w:tblGrid>
        <w:gridCol w:w="496"/>
        <w:gridCol w:w="4252"/>
        <w:gridCol w:w="1380"/>
        <w:gridCol w:w="1382"/>
      </w:tblGrid>
      <w:tr w:rsidR="00DA0E45" w14:paraId="5EAB9CCC" w14:textId="77777777" w:rsidTr="00342BA4">
        <w:tblPrEx>
          <w:tblCellMar>
            <w:top w:w="0" w:type="dxa"/>
            <w:bottom w:w="0" w:type="dxa"/>
          </w:tblCellMar>
        </w:tblPrEx>
        <w:tc>
          <w:tcPr>
            <w:tcW w:w="496" w:type="dxa"/>
            <w:tcBorders>
              <w:top w:val="single" w:sz="6" w:space="0" w:color="auto"/>
              <w:left w:val="single" w:sz="6" w:space="0" w:color="auto"/>
              <w:bottom w:val="nil"/>
              <w:right w:val="nil"/>
            </w:tcBorders>
          </w:tcPr>
          <w:p w14:paraId="62F2F1AF" w14:textId="77777777" w:rsidR="00DA0E45" w:rsidRDefault="00DA0E45" w:rsidP="00342BA4">
            <w:pPr>
              <w:overflowPunct w:val="0"/>
              <w:autoSpaceDE w:val="0"/>
              <w:autoSpaceDN w:val="0"/>
              <w:adjustRightInd w:val="0"/>
              <w:jc w:val="center"/>
            </w:pPr>
            <w:r>
              <w:t> </w:t>
            </w:r>
          </w:p>
        </w:tc>
        <w:tc>
          <w:tcPr>
            <w:tcW w:w="4252" w:type="dxa"/>
            <w:tcBorders>
              <w:top w:val="single" w:sz="6" w:space="0" w:color="auto"/>
              <w:left w:val="single" w:sz="6" w:space="0" w:color="auto"/>
              <w:bottom w:val="nil"/>
              <w:right w:val="nil"/>
            </w:tcBorders>
          </w:tcPr>
          <w:p w14:paraId="1D2EB47F" w14:textId="77777777" w:rsidR="00DA0E45" w:rsidRDefault="00DA0E45" w:rsidP="00342BA4">
            <w:pPr>
              <w:overflowPunct w:val="0"/>
              <w:autoSpaceDE w:val="0"/>
              <w:autoSpaceDN w:val="0"/>
              <w:adjustRightInd w:val="0"/>
              <w:jc w:val="both"/>
            </w:pPr>
            <w:r>
              <w:t> </w:t>
            </w:r>
          </w:p>
        </w:tc>
        <w:tc>
          <w:tcPr>
            <w:tcW w:w="2762" w:type="dxa"/>
            <w:gridSpan w:val="2"/>
            <w:tcBorders>
              <w:top w:val="single" w:sz="6" w:space="0" w:color="auto"/>
              <w:left w:val="single" w:sz="6" w:space="0" w:color="auto"/>
              <w:bottom w:val="single" w:sz="6" w:space="0" w:color="auto"/>
              <w:right w:val="single" w:sz="6" w:space="0" w:color="auto"/>
            </w:tcBorders>
          </w:tcPr>
          <w:p w14:paraId="23CF3186" w14:textId="77777777" w:rsidR="00DA0E45" w:rsidRDefault="00DA0E45" w:rsidP="00342BA4">
            <w:pPr>
              <w:overflowPunct w:val="0"/>
              <w:autoSpaceDE w:val="0"/>
              <w:autoSpaceDN w:val="0"/>
              <w:adjustRightInd w:val="0"/>
              <w:jc w:val="center"/>
            </w:pPr>
            <w:r>
              <w:t>Częstotliwość badań</w:t>
            </w:r>
          </w:p>
        </w:tc>
      </w:tr>
      <w:tr w:rsidR="00DA0E45" w14:paraId="7BEA7F36" w14:textId="77777777" w:rsidTr="00342BA4">
        <w:tblPrEx>
          <w:tblCellMar>
            <w:top w:w="0" w:type="dxa"/>
            <w:bottom w:w="0" w:type="dxa"/>
          </w:tblCellMar>
        </w:tblPrEx>
        <w:tc>
          <w:tcPr>
            <w:tcW w:w="496" w:type="dxa"/>
            <w:tcBorders>
              <w:top w:val="nil"/>
              <w:left w:val="single" w:sz="6" w:space="0" w:color="auto"/>
              <w:bottom w:val="double" w:sz="6" w:space="0" w:color="auto"/>
              <w:right w:val="single" w:sz="6" w:space="0" w:color="auto"/>
            </w:tcBorders>
          </w:tcPr>
          <w:p w14:paraId="78AB2402" w14:textId="77777777" w:rsidR="00DA0E45" w:rsidRDefault="00DA0E45" w:rsidP="00342BA4">
            <w:pPr>
              <w:overflowPunct w:val="0"/>
              <w:autoSpaceDE w:val="0"/>
              <w:autoSpaceDN w:val="0"/>
              <w:adjustRightInd w:val="0"/>
              <w:spacing w:before="60"/>
              <w:jc w:val="center"/>
            </w:pPr>
            <w:r>
              <w:t>Lp.</w:t>
            </w:r>
          </w:p>
        </w:tc>
        <w:tc>
          <w:tcPr>
            <w:tcW w:w="4252" w:type="dxa"/>
            <w:tcBorders>
              <w:top w:val="nil"/>
              <w:left w:val="nil"/>
              <w:bottom w:val="double" w:sz="6" w:space="0" w:color="auto"/>
              <w:right w:val="nil"/>
            </w:tcBorders>
          </w:tcPr>
          <w:p w14:paraId="58916220" w14:textId="77777777" w:rsidR="00DA0E45" w:rsidRDefault="00DA0E45" w:rsidP="00342BA4">
            <w:pPr>
              <w:overflowPunct w:val="0"/>
              <w:autoSpaceDE w:val="0"/>
              <w:autoSpaceDN w:val="0"/>
              <w:adjustRightInd w:val="0"/>
              <w:spacing w:before="60"/>
              <w:jc w:val="center"/>
            </w:pPr>
            <w:r>
              <w:t>Wyszczególnienie badań</w:t>
            </w:r>
          </w:p>
        </w:tc>
        <w:tc>
          <w:tcPr>
            <w:tcW w:w="1380" w:type="dxa"/>
            <w:tcBorders>
              <w:top w:val="single" w:sz="6" w:space="0" w:color="auto"/>
              <w:left w:val="single" w:sz="6" w:space="0" w:color="auto"/>
              <w:bottom w:val="double" w:sz="6" w:space="0" w:color="auto"/>
              <w:right w:val="single" w:sz="6" w:space="0" w:color="auto"/>
            </w:tcBorders>
          </w:tcPr>
          <w:p w14:paraId="5C6E5A23" w14:textId="77777777" w:rsidR="00DA0E45" w:rsidRDefault="00DA0E45" w:rsidP="00342BA4">
            <w:pPr>
              <w:overflowPunct w:val="0"/>
              <w:autoSpaceDE w:val="0"/>
              <w:autoSpaceDN w:val="0"/>
              <w:adjustRightInd w:val="0"/>
              <w:spacing w:before="120"/>
              <w:jc w:val="center"/>
              <w:rPr>
                <w:sz w:val="16"/>
              </w:rPr>
            </w:pPr>
            <w:r>
              <w:rPr>
                <w:sz w:val="16"/>
              </w:rPr>
              <w:t>Minimalne ilości badań na dziennej działce roboczej</w:t>
            </w:r>
          </w:p>
        </w:tc>
        <w:tc>
          <w:tcPr>
            <w:tcW w:w="1382" w:type="dxa"/>
            <w:tcBorders>
              <w:top w:val="single" w:sz="6" w:space="0" w:color="auto"/>
              <w:left w:val="single" w:sz="6" w:space="0" w:color="auto"/>
              <w:bottom w:val="double" w:sz="6" w:space="0" w:color="auto"/>
              <w:right w:val="single" w:sz="6" w:space="0" w:color="auto"/>
            </w:tcBorders>
          </w:tcPr>
          <w:p w14:paraId="1084DBDE" w14:textId="77777777" w:rsidR="00DA0E45" w:rsidRDefault="00DA0E45" w:rsidP="00342BA4">
            <w:pPr>
              <w:overflowPunct w:val="0"/>
              <w:autoSpaceDE w:val="0"/>
              <w:autoSpaceDN w:val="0"/>
              <w:adjustRightInd w:val="0"/>
              <w:jc w:val="center"/>
              <w:rPr>
                <w:sz w:val="16"/>
              </w:rPr>
            </w:pPr>
            <w:r>
              <w:rPr>
                <w:sz w:val="16"/>
              </w:rPr>
              <w:t>Maksymalna po-</w:t>
            </w:r>
          </w:p>
          <w:p w14:paraId="53F37D62" w14:textId="77777777" w:rsidR="00DA0E45" w:rsidRDefault="00DA0E45" w:rsidP="00342BA4">
            <w:pPr>
              <w:overflowPunct w:val="0"/>
              <w:autoSpaceDE w:val="0"/>
              <w:autoSpaceDN w:val="0"/>
              <w:adjustRightInd w:val="0"/>
              <w:jc w:val="center"/>
              <w:rPr>
                <w:sz w:val="16"/>
              </w:rPr>
            </w:pPr>
            <w:r>
              <w:rPr>
                <w:sz w:val="16"/>
              </w:rPr>
              <w:t xml:space="preserve">wierzchnia </w:t>
            </w:r>
            <w:proofErr w:type="spellStart"/>
            <w:r>
              <w:rPr>
                <w:sz w:val="16"/>
              </w:rPr>
              <w:t>podbu</w:t>
            </w:r>
            <w:proofErr w:type="spellEnd"/>
            <w:r>
              <w:rPr>
                <w:sz w:val="16"/>
              </w:rPr>
              <w:t>-</w:t>
            </w:r>
          </w:p>
          <w:p w14:paraId="3F1DF91C" w14:textId="77777777" w:rsidR="00DA0E45" w:rsidRDefault="00DA0E45" w:rsidP="00342BA4">
            <w:pPr>
              <w:overflowPunct w:val="0"/>
              <w:autoSpaceDE w:val="0"/>
              <w:autoSpaceDN w:val="0"/>
              <w:adjustRightInd w:val="0"/>
              <w:jc w:val="center"/>
              <w:rPr>
                <w:sz w:val="16"/>
              </w:rPr>
            </w:pPr>
            <w:proofErr w:type="spellStart"/>
            <w:r>
              <w:rPr>
                <w:sz w:val="16"/>
              </w:rPr>
              <w:t>dowy</w:t>
            </w:r>
            <w:proofErr w:type="spellEnd"/>
            <w:r>
              <w:rPr>
                <w:sz w:val="16"/>
              </w:rPr>
              <w:t xml:space="preserve"> na jedno badanie (m</w:t>
            </w:r>
            <w:r>
              <w:rPr>
                <w:sz w:val="16"/>
                <w:vertAlign w:val="superscript"/>
              </w:rPr>
              <w:t>2</w:t>
            </w:r>
            <w:r>
              <w:rPr>
                <w:sz w:val="16"/>
              </w:rPr>
              <w:t>)</w:t>
            </w:r>
          </w:p>
        </w:tc>
      </w:tr>
      <w:tr w:rsidR="00DA0E45" w14:paraId="15D434B4" w14:textId="77777777" w:rsidTr="00342BA4">
        <w:tblPrEx>
          <w:tblCellMar>
            <w:top w:w="0" w:type="dxa"/>
            <w:bottom w:w="0" w:type="dxa"/>
          </w:tblCellMar>
        </w:tblPrEx>
        <w:tc>
          <w:tcPr>
            <w:tcW w:w="496" w:type="dxa"/>
            <w:tcBorders>
              <w:top w:val="nil"/>
              <w:left w:val="single" w:sz="6" w:space="0" w:color="auto"/>
              <w:bottom w:val="single" w:sz="6" w:space="0" w:color="auto"/>
              <w:right w:val="single" w:sz="6" w:space="0" w:color="auto"/>
            </w:tcBorders>
          </w:tcPr>
          <w:p w14:paraId="6E1F24DD" w14:textId="77777777" w:rsidR="00DA0E45" w:rsidRDefault="00DA0E45" w:rsidP="00342BA4">
            <w:pPr>
              <w:overflowPunct w:val="0"/>
              <w:autoSpaceDE w:val="0"/>
              <w:autoSpaceDN w:val="0"/>
              <w:adjustRightInd w:val="0"/>
              <w:spacing w:before="60"/>
              <w:jc w:val="center"/>
            </w:pPr>
            <w:r>
              <w:t>1</w:t>
            </w:r>
          </w:p>
          <w:p w14:paraId="3BD62201" w14:textId="77777777" w:rsidR="00DA0E45" w:rsidRDefault="00DA0E45" w:rsidP="00342BA4">
            <w:pPr>
              <w:overflowPunct w:val="0"/>
              <w:autoSpaceDE w:val="0"/>
              <w:autoSpaceDN w:val="0"/>
              <w:adjustRightInd w:val="0"/>
              <w:jc w:val="center"/>
            </w:pPr>
            <w:r>
              <w:t>2</w:t>
            </w:r>
          </w:p>
          <w:p w14:paraId="20E3539C" w14:textId="77777777" w:rsidR="00DA0E45" w:rsidRDefault="00DA0E45" w:rsidP="00342BA4">
            <w:pPr>
              <w:overflowPunct w:val="0"/>
              <w:autoSpaceDE w:val="0"/>
              <w:autoSpaceDN w:val="0"/>
              <w:adjustRightInd w:val="0"/>
              <w:jc w:val="center"/>
            </w:pPr>
            <w:r>
              <w:t>3</w:t>
            </w:r>
          </w:p>
        </w:tc>
        <w:tc>
          <w:tcPr>
            <w:tcW w:w="4252" w:type="dxa"/>
            <w:tcBorders>
              <w:top w:val="nil"/>
              <w:left w:val="single" w:sz="6" w:space="0" w:color="auto"/>
              <w:bottom w:val="single" w:sz="6" w:space="0" w:color="auto"/>
              <w:right w:val="single" w:sz="6" w:space="0" w:color="auto"/>
            </w:tcBorders>
          </w:tcPr>
          <w:p w14:paraId="4C0B59F1" w14:textId="77777777" w:rsidR="00DA0E45" w:rsidRDefault="00DA0E45" w:rsidP="00342BA4">
            <w:pPr>
              <w:overflowPunct w:val="0"/>
              <w:autoSpaceDE w:val="0"/>
              <w:autoSpaceDN w:val="0"/>
              <w:adjustRightInd w:val="0"/>
              <w:spacing w:before="60"/>
              <w:jc w:val="both"/>
            </w:pPr>
            <w:r>
              <w:t>Uziarnienie kruszyw</w:t>
            </w:r>
          </w:p>
          <w:p w14:paraId="6A865D52" w14:textId="77777777" w:rsidR="00DA0E45" w:rsidRDefault="00DA0E45" w:rsidP="00342BA4">
            <w:pPr>
              <w:overflowPunct w:val="0"/>
              <w:autoSpaceDE w:val="0"/>
              <w:autoSpaceDN w:val="0"/>
              <w:adjustRightInd w:val="0"/>
              <w:jc w:val="both"/>
            </w:pPr>
            <w:r>
              <w:t>Zawartość zanieczyszczeń obcych w kruszywie</w:t>
            </w:r>
          </w:p>
          <w:p w14:paraId="3FB70CC6" w14:textId="77777777" w:rsidR="00DA0E45" w:rsidRDefault="00DA0E45" w:rsidP="00342BA4">
            <w:pPr>
              <w:overflowPunct w:val="0"/>
              <w:autoSpaceDE w:val="0"/>
              <w:autoSpaceDN w:val="0"/>
              <w:adjustRightInd w:val="0"/>
              <w:spacing w:after="60"/>
              <w:jc w:val="both"/>
            </w:pPr>
            <w:r>
              <w:t xml:space="preserve">Zawartość </w:t>
            </w:r>
            <w:proofErr w:type="spellStart"/>
            <w:r>
              <w:t>ziarn</w:t>
            </w:r>
            <w:proofErr w:type="spellEnd"/>
            <w:r>
              <w:t xml:space="preserve"> nieforemnych w kruszywie</w:t>
            </w:r>
          </w:p>
        </w:tc>
        <w:tc>
          <w:tcPr>
            <w:tcW w:w="1380" w:type="dxa"/>
            <w:tcBorders>
              <w:top w:val="nil"/>
              <w:left w:val="single" w:sz="6" w:space="0" w:color="auto"/>
              <w:bottom w:val="single" w:sz="6" w:space="0" w:color="auto"/>
              <w:right w:val="single" w:sz="6" w:space="0" w:color="auto"/>
            </w:tcBorders>
          </w:tcPr>
          <w:p w14:paraId="6C71D6AD" w14:textId="77777777" w:rsidR="00DA0E45" w:rsidRDefault="00DA0E45" w:rsidP="00342BA4">
            <w:pPr>
              <w:overflowPunct w:val="0"/>
              <w:autoSpaceDE w:val="0"/>
              <w:autoSpaceDN w:val="0"/>
              <w:adjustRightInd w:val="0"/>
              <w:jc w:val="center"/>
            </w:pPr>
            <w:r>
              <w:t> </w:t>
            </w:r>
          </w:p>
          <w:p w14:paraId="6645A760" w14:textId="77777777" w:rsidR="00DA0E45" w:rsidRDefault="00DA0E45" w:rsidP="00342BA4">
            <w:pPr>
              <w:overflowPunct w:val="0"/>
              <w:autoSpaceDE w:val="0"/>
              <w:autoSpaceDN w:val="0"/>
              <w:adjustRightInd w:val="0"/>
              <w:spacing w:before="60"/>
              <w:jc w:val="center"/>
            </w:pPr>
            <w:r>
              <w:t>2</w:t>
            </w:r>
          </w:p>
        </w:tc>
        <w:tc>
          <w:tcPr>
            <w:tcW w:w="1382" w:type="dxa"/>
            <w:tcBorders>
              <w:top w:val="nil"/>
              <w:left w:val="nil"/>
              <w:bottom w:val="single" w:sz="6" w:space="0" w:color="auto"/>
              <w:right w:val="single" w:sz="6" w:space="0" w:color="auto"/>
            </w:tcBorders>
          </w:tcPr>
          <w:p w14:paraId="193309E2" w14:textId="77777777" w:rsidR="00DA0E45" w:rsidRDefault="00DA0E45" w:rsidP="00342BA4">
            <w:pPr>
              <w:overflowPunct w:val="0"/>
              <w:autoSpaceDE w:val="0"/>
              <w:autoSpaceDN w:val="0"/>
              <w:adjustRightInd w:val="0"/>
              <w:jc w:val="center"/>
            </w:pPr>
            <w:r>
              <w:t> </w:t>
            </w:r>
          </w:p>
          <w:p w14:paraId="560EEE2E" w14:textId="77777777" w:rsidR="00DA0E45" w:rsidRDefault="00DA0E45" w:rsidP="00342BA4">
            <w:pPr>
              <w:overflowPunct w:val="0"/>
              <w:autoSpaceDE w:val="0"/>
              <w:autoSpaceDN w:val="0"/>
              <w:adjustRightInd w:val="0"/>
              <w:spacing w:before="60"/>
              <w:jc w:val="center"/>
            </w:pPr>
            <w:r>
              <w:t>600</w:t>
            </w:r>
          </w:p>
        </w:tc>
      </w:tr>
      <w:tr w:rsidR="00DA0E45" w14:paraId="75C469A3" w14:textId="77777777" w:rsidTr="00342BA4">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14:paraId="08F696A4" w14:textId="77777777" w:rsidR="00DA0E45" w:rsidRDefault="00DA0E45" w:rsidP="00342BA4">
            <w:pPr>
              <w:overflowPunct w:val="0"/>
              <w:autoSpaceDE w:val="0"/>
              <w:autoSpaceDN w:val="0"/>
              <w:adjustRightInd w:val="0"/>
              <w:spacing w:before="60"/>
              <w:jc w:val="center"/>
            </w:pPr>
            <w:r>
              <w:t>4</w:t>
            </w:r>
          </w:p>
          <w:p w14:paraId="76FDBC5C" w14:textId="77777777" w:rsidR="00DA0E45" w:rsidRDefault="00DA0E45" w:rsidP="00342BA4">
            <w:pPr>
              <w:overflowPunct w:val="0"/>
              <w:autoSpaceDE w:val="0"/>
              <w:autoSpaceDN w:val="0"/>
              <w:adjustRightInd w:val="0"/>
              <w:jc w:val="center"/>
            </w:pPr>
            <w:r>
              <w:t>5</w:t>
            </w:r>
          </w:p>
          <w:p w14:paraId="7F300AC2" w14:textId="77777777" w:rsidR="00DA0E45" w:rsidRDefault="00DA0E45" w:rsidP="00342BA4">
            <w:pPr>
              <w:overflowPunct w:val="0"/>
              <w:autoSpaceDE w:val="0"/>
              <w:autoSpaceDN w:val="0"/>
              <w:adjustRightInd w:val="0"/>
              <w:jc w:val="center"/>
            </w:pPr>
            <w:r>
              <w:t>6</w:t>
            </w:r>
          </w:p>
          <w:p w14:paraId="71199FB2" w14:textId="77777777" w:rsidR="00DA0E45" w:rsidRDefault="00DA0E45" w:rsidP="00342BA4">
            <w:pPr>
              <w:overflowPunct w:val="0"/>
              <w:autoSpaceDE w:val="0"/>
              <w:autoSpaceDN w:val="0"/>
              <w:adjustRightInd w:val="0"/>
              <w:jc w:val="center"/>
            </w:pPr>
            <w:r>
              <w:t>7</w:t>
            </w:r>
          </w:p>
        </w:tc>
        <w:tc>
          <w:tcPr>
            <w:tcW w:w="4252" w:type="dxa"/>
            <w:tcBorders>
              <w:top w:val="single" w:sz="6" w:space="0" w:color="auto"/>
              <w:left w:val="single" w:sz="6" w:space="0" w:color="auto"/>
              <w:bottom w:val="single" w:sz="6" w:space="0" w:color="auto"/>
              <w:right w:val="single" w:sz="6" w:space="0" w:color="auto"/>
            </w:tcBorders>
          </w:tcPr>
          <w:p w14:paraId="7F106D2A" w14:textId="77777777" w:rsidR="00DA0E45" w:rsidRDefault="00DA0E45" w:rsidP="00342BA4">
            <w:pPr>
              <w:overflowPunct w:val="0"/>
              <w:autoSpaceDE w:val="0"/>
              <w:autoSpaceDN w:val="0"/>
              <w:adjustRightInd w:val="0"/>
              <w:spacing w:before="60"/>
              <w:jc w:val="both"/>
            </w:pPr>
            <w:r>
              <w:t>Ścieralność kruszywa</w:t>
            </w:r>
          </w:p>
          <w:p w14:paraId="3438EE0D" w14:textId="77777777" w:rsidR="00DA0E45" w:rsidRDefault="00DA0E45" w:rsidP="00342BA4">
            <w:pPr>
              <w:overflowPunct w:val="0"/>
              <w:autoSpaceDE w:val="0"/>
              <w:autoSpaceDN w:val="0"/>
              <w:adjustRightInd w:val="0"/>
              <w:jc w:val="both"/>
            </w:pPr>
            <w:r>
              <w:t>Nasiąkliwość kruszywa</w:t>
            </w:r>
          </w:p>
          <w:p w14:paraId="07114410" w14:textId="77777777" w:rsidR="00DA0E45" w:rsidRDefault="00DA0E45" w:rsidP="00342BA4">
            <w:pPr>
              <w:overflowPunct w:val="0"/>
              <w:autoSpaceDE w:val="0"/>
              <w:autoSpaceDN w:val="0"/>
              <w:adjustRightInd w:val="0"/>
              <w:jc w:val="both"/>
            </w:pPr>
            <w:r>
              <w:t>Odporność kruszywa na działanie mrozu</w:t>
            </w:r>
          </w:p>
          <w:p w14:paraId="3C6CDD66" w14:textId="77777777" w:rsidR="00DA0E45" w:rsidRDefault="00DA0E45" w:rsidP="00342BA4">
            <w:pPr>
              <w:overflowPunct w:val="0"/>
              <w:autoSpaceDE w:val="0"/>
              <w:autoSpaceDN w:val="0"/>
              <w:adjustRightInd w:val="0"/>
              <w:spacing w:after="60"/>
              <w:jc w:val="both"/>
            </w:pPr>
            <w:r>
              <w:t>Zawartość zanieczyszczeń organicznych</w:t>
            </w:r>
          </w:p>
        </w:tc>
        <w:tc>
          <w:tcPr>
            <w:tcW w:w="2762" w:type="dxa"/>
            <w:gridSpan w:val="2"/>
            <w:tcBorders>
              <w:top w:val="single" w:sz="6" w:space="0" w:color="auto"/>
              <w:left w:val="single" w:sz="6" w:space="0" w:color="auto"/>
              <w:bottom w:val="single" w:sz="6" w:space="0" w:color="auto"/>
              <w:right w:val="single" w:sz="6" w:space="0" w:color="auto"/>
            </w:tcBorders>
          </w:tcPr>
          <w:p w14:paraId="377665C0" w14:textId="77777777" w:rsidR="00DA0E45" w:rsidRDefault="00DA0E45" w:rsidP="00342BA4">
            <w:pPr>
              <w:overflowPunct w:val="0"/>
              <w:autoSpaceDE w:val="0"/>
              <w:autoSpaceDN w:val="0"/>
              <w:adjustRightInd w:val="0"/>
              <w:spacing w:before="180"/>
              <w:jc w:val="center"/>
            </w:pPr>
            <w:r>
              <w:t>6000</w:t>
            </w:r>
          </w:p>
          <w:p w14:paraId="542A4C78" w14:textId="77777777" w:rsidR="00DA0E45" w:rsidRDefault="00DA0E45" w:rsidP="00342BA4">
            <w:pPr>
              <w:overflowPunct w:val="0"/>
              <w:autoSpaceDE w:val="0"/>
              <w:autoSpaceDN w:val="0"/>
              <w:adjustRightInd w:val="0"/>
              <w:jc w:val="center"/>
            </w:pPr>
            <w:r>
              <w:t>i przy każdej zmianie źródła pobierania materiałów</w:t>
            </w:r>
          </w:p>
        </w:tc>
      </w:tr>
    </w:tbl>
    <w:p w14:paraId="0B158E73" w14:textId="77777777" w:rsidR="00DA0E45" w:rsidRDefault="00DA0E45" w:rsidP="00DA0E45">
      <w:pPr>
        <w:overflowPunct w:val="0"/>
        <w:autoSpaceDE w:val="0"/>
        <w:autoSpaceDN w:val="0"/>
        <w:adjustRightInd w:val="0"/>
        <w:jc w:val="both"/>
      </w:pPr>
    </w:p>
    <w:p w14:paraId="55068B8C" w14:textId="77777777" w:rsidR="00DA0E45" w:rsidRDefault="00DA0E45" w:rsidP="00DA0E45">
      <w:pPr>
        <w:overflowPunct w:val="0"/>
        <w:autoSpaceDE w:val="0"/>
        <w:autoSpaceDN w:val="0"/>
        <w:adjustRightInd w:val="0"/>
        <w:jc w:val="both"/>
      </w:pPr>
      <w:r>
        <w:t> </w:t>
      </w:r>
      <w:r>
        <w:rPr>
          <w:b/>
        </w:rPr>
        <w:t xml:space="preserve">6.3.2. </w:t>
      </w:r>
      <w:r>
        <w:t>Badania właściwości kruszywa</w:t>
      </w:r>
    </w:p>
    <w:p w14:paraId="7724556B" w14:textId="77777777" w:rsidR="00DA0E45" w:rsidRDefault="00DA0E45" w:rsidP="00DA0E45">
      <w:pPr>
        <w:overflowPunct w:val="0"/>
        <w:autoSpaceDE w:val="0"/>
        <w:autoSpaceDN w:val="0"/>
        <w:adjustRightInd w:val="0"/>
        <w:spacing w:before="120"/>
        <w:jc w:val="both"/>
      </w:pPr>
      <w:r>
        <w:tab/>
        <w:t>Próbki należy pobierać w sposób losowy z rozłożonej warstwy, przed jej zagęszczeniem. Wyniki badań powinny być na bieżąco przekazywane Inżynierowi.</w:t>
      </w:r>
    </w:p>
    <w:p w14:paraId="47EDE8B9" w14:textId="77777777" w:rsidR="00DA0E45" w:rsidRDefault="00DA0E45" w:rsidP="00DA0E45">
      <w:pPr>
        <w:overflowPunct w:val="0"/>
        <w:autoSpaceDE w:val="0"/>
        <w:autoSpaceDN w:val="0"/>
        <w:adjustRightInd w:val="0"/>
        <w:jc w:val="both"/>
      </w:pPr>
      <w:r>
        <w:t>Badania pełne kruszywa, obejmujące ocenę wszystkich właściwości określonych w pkt 2.3 powinny być wykonywane przez Wykonawcę z częstotliwością gwarantującą zachowanie jakości robót i zawsze w przypadku zmiany źródła pobierania materiałów oraz na polecenie Inżyniera. Próbki do badań pełnych powinny być pobierane przez Wykonawcę w sposób losowy, w obecności Inżyniera.</w:t>
      </w:r>
    </w:p>
    <w:p w14:paraId="0D05EEFB" w14:textId="77777777" w:rsidR="00DA0E45" w:rsidRDefault="00DA0E45" w:rsidP="00DA0E45">
      <w:pPr>
        <w:keepNext/>
        <w:overflowPunct w:val="0"/>
        <w:autoSpaceDE w:val="0"/>
        <w:autoSpaceDN w:val="0"/>
        <w:adjustRightInd w:val="0"/>
        <w:spacing w:before="120" w:after="120"/>
        <w:jc w:val="both"/>
        <w:outlineLvl w:val="1"/>
        <w:rPr>
          <w:b/>
        </w:rPr>
      </w:pPr>
      <w:r>
        <w:rPr>
          <w:b/>
        </w:rPr>
        <w:t>6.4. Wymagania dotyczące nośności i cech geometrycznych podbudowy</w:t>
      </w:r>
    </w:p>
    <w:p w14:paraId="37ADCAA2" w14:textId="77777777" w:rsidR="00DA0E45" w:rsidRDefault="00DA0E45" w:rsidP="00DA0E45">
      <w:pPr>
        <w:overflowPunct w:val="0"/>
        <w:autoSpaceDE w:val="0"/>
        <w:autoSpaceDN w:val="0"/>
        <w:adjustRightInd w:val="0"/>
        <w:jc w:val="both"/>
      </w:pPr>
      <w:r>
        <w:rPr>
          <w:b/>
        </w:rPr>
        <w:t xml:space="preserve">6.4.1. </w:t>
      </w:r>
      <w:r>
        <w:t>Częstotliwość oraz zakres pomiarów</w:t>
      </w:r>
    </w:p>
    <w:p w14:paraId="21436C37" w14:textId="77777777" w:rsidR="00DA0E45" w:rsidRDefault="00DA0E45" w:rsidP="00DA0E45">
      <w:pPr>
        <w:overflowPunct w:val="0"/>
        <w:autoSpaceDE w:val="0"/>
        <w:autoSpaceDN w:val="0"/>
        <w:adjustRightInd w:val="0"/>
        <w:spacing w:before="120"/>
        <w:jc w:val="both"/>
      </w:pPr>
      <w:r>
        <w:t xml:space="preserve"> Częstotliwość oraz zakres pomiarów podano w tablicy 4.</w:t>
      </w:r>
    </w:p>
    <w:p w14:paraId="329B38C6" w14:textId="77777777" w:rsidR="00DA0E45" w:rsidRDefault="00DA0E45" w:rsidP="00DA0E45">
      <w:pPr>
        <w:overflowPunct w:val="0"/>
        <w:autoSpaceDE w:val="0"/>
        <w:autoSpaceDN w:val="0"/>
        <w:adjustRightInd w:val="0"/>
        <w:spacing w:before="120"/>
        <w:jc w:val="both"/>
        <w:rPr>
          <w:i/>
        </w:rPr>
      </w:pPr>
      <w:r>
        <w:rPr>
          <w:i/>
        </w:rPr>
        <w:t> Tablica 4. Częstotliwość oraz zakres pomiarów wykonanej podbudowy z tłucznia kamiennego</w:t>
      </w:r>
    </w:p>
    <w:tbl>
      <w:tblPr>
        <w:tblW w:w="0" w:type="auto"/>
        <w:tblInd w:w="103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90"/>
        <w:gridCol w:w="3675"/>
        <w:gridCol w:w="3118"/>
      </w:tblGrid>
      <w:tr w:rsidR="00DA0E45" w14:paraId="2A4D86F0" w14:textId="77777777" w:rsidTr="00342BA4">
        <w:tblPrEx>
          <w:tblCellMar>
            <w:top w:w="0" w:type="dxa"/>
            <w:bottom w:w="0" w:type="dxa"/>
          </w:tblCellMar>
        </w:tblPrEx>
        <w:tc>
          <w:tcPr>
            <w:tcW w:w="790" w:type="dxa"/>
            <w:tcBorders>
              <w:top w:val="single" w:sz="6" w:space="0" w:color="auto"/>
              <w:left w:val="single" w:sz="6" w:space="0" w:color="auto"/>
              <w:bottom w:val="double" w:sz="6" w:space="0" w:color="auto"/>
              <w:right w:val="single" w:sz="6" w:space="0" w:color="auto"/>
            </w:tcBorders>
          </w:tcPr>
          <w:p w14:paraId="07DDBFA7" w14:textId="77777777" w:rsidR="00DA0E45" w:rsidRDefault="00DA0E45" w:rsidP="00342BA4">
            <w:pPr>
              <w:overflowPunct w:val="0"/>
              <w:autoSpaceDE w:val="0"/>
              <w:autoSpaceDN w:val="0"/>
              <w:adjustRightInd w:val="0"/>
              <w:spacing w:before="60" w:after="60"/>
              <w:ind w:right="-11"/>
              <w:jc w:val="center"/>
              <w:rPr>
                <w:b/>
              </w:rPr>
            </w:pPr>
            <w:r>
              <w:t>Lp.</w:t>
            </w:r>
          </w:p>
        </w:tc>
        <w:tc>
          <w:tcPr>
            <w:tcW w:w="3675" w:type="dxa"/>
            <w:tcBorders>
              <w:top w:val="single" w:sz="6" w:space="0" w:color="auto"/>
              <w:left w:val="single" w:sz="6" w:space="0" w:color="auto"/>
              <w:bottom w:val="double" w:sz="6" w:space="0" w:color="auto"/>
              <w:right w:val="single" w:sz="6" w:space="0" w:color="auto"/>
            </w:tcBorders>
          </w:tcPr>
          <w:p w14:paraId="610E143A" w14:textId="77777777" w:rsidR="00DA0E45" w:rsidRDefault="00DA0E45" w:rsidP="00342BA4">
            <w:pPr>
              <w:overflowPunct w:val="0"/>
              <w:autoSpaceDE w:val="0"/>
              <w:autoSpaceDN w:val="0"/>
              <w:adjustRightInd w:val="0"/>
              <w:spacing w:before="60" w:after="60"/>
              <w:ind w:right="-11"/>
              <w:jc w:val="center"/>
              <w:rPr>
                <w:b/>
              </w:rPr>
            </w:pPr>
            <w:r>
              <w:t>Wyszczególnienie badań i pomiarów</w:t>
            </w:r>
          </w:p>
        </w:tc>
        <w:tc>
          <w:tcPr>
            <w:tcW w:w="3118" w:type="dxa"/>
            <w:tcBorders>
              <w:top w:val="single" w:sz="6" w:space="0" w:color="auto"/>
              <w:left w:val="single" w:sz="6" w:space="0" w:color="auto"/>
              <w:bottom w:val="double" w:sz="6" w:space="0" w:color="auto"/>
              <w:right w:val="single" w:sz="6" w:space="0" w:color="auto"/>
            </w:tcBorders>
          </w:tcPr>
          <w:p w14:paraId="742AD580" w14:textId="77777777" w:rsidR="00DA0E45" w:rsidRDefault="00DA0E45" w:rsidP="00342BA4">
            <w:pPr>
              <w:overflowPunct w:val="0"/>
              <w:autoSpaceDE w:val="0"/>
              <w:autoSpaceDN w:val="0"/>
              <w:adjustRightInd w:val="0"/>
              <w:spacing w:before="60" w:after="60"/>
              <w:ind w:right="-11"/>
              <w:jc w:val="center"/>
              <w:rPr>
                <w:b/>
              </w:rPr>
            </w:pPr>
            <w:r>
              <w:t>Minimalna częstotliwość pomiarów</w:t>
            </w:r>
          </w:p>
        </w:tc>
      </w:tr>
      <w:tr w:rsidR="00DA0E45" w14:paraId="0E13FEA1" w14:textId="77777777" w:rsidTr="00342BA4">
        <w:tblPrEx>
          <w:tblCellMar>
            <w:top w:w="0" w:type="dxa"/>
            <w:bottom w:w="0" w:type="dxa"/>
          </w:tblCellMar>
        </w:tblPrEx>
        <w:tc>
          <w:tcPr>
            <w:tcW w:w="790" w:type="dxa"/>
            <w:tcBorders>
              <w:top w:val="nil"/>
              <w:left w:val="single" w:sz="6" w:space="0" w:color="auto"/>
              <w:bottom w:val="single" w:sz="6" w:space="0" w:color="auto"/>
              <w:right w:val="single" w:sz="6" w:space="0" w:color="auto"/>
            </w:tcBorders>
          </w:tcPr>
          <w:p w14:paraId="7B3E6D57" w14:textId="77777777" w:rsidR="00DA0E45" w:rsidRDefault="00DA0E45" w:rsidP="00342BA4">
            <w:pPr>
              <w:overflowPunct w:val="0"/>
              <w:autoSpaceDE w:val="0"/>
              <w:autoSpaceDN w:val="0"/>
              <w:adjustRightInd w:val="0"/>
              <w:spacing w:before="60" w:after="60"/>
              <w:ind w:right="-14"/>
              <w:jc w:val="center"/>
              <w:rPr>
                <w:b/>
              </w:rPr>
            </w:pPr>
            <w:r>
              <w:t>1</w:t>
            </w:r>
          </w:p>
        </w:tc>
        <w:tc>
          <w:tcPr>
            <w:tcW w:w="3675" w:type="dxa"/>
            <w:tcBorders>
              <w:top w:val="nil"/>
              <w:left w:val="single" w:sz="6" w:space="0" w:color="auto"/>
              <w:bottom w:val="single" w:sz="6" w:space="0" w:color="auto"/>
              <w:right w:val="single" w:sz="6" w:space="0" w:color="auto"/>
            </w:tcBorders>
          </w:tcPr>
          <w:p w14:paraId="24F59FBD" w14:textId="77777777" w:rsidR="00DA0E45" w:rsidRDefault="00DA0E45" w:rsidP="00342BA4">
            <w:pPr>
              <w:overflowPunct w:val="0"/>
              <w:autoSpaceDE w:val="0"/>
              <w:autoSpaceDN w:val="0"/>
              <w:adjustRightInd w:val="0"/>
              <w:spacing w:before="60" w:after="60"/>
              <w:ind w:right="-14"/>
              <w:jc w:val="both"/>
              <w:rPr>
                <w:b/>
              </w:rPr>
            </w:pPr>
            <w:r>
              <w:t>Szerokość podbudowy</w:t>
            </w:r>
          </w:p>
        </w:tc>
        <w:tc>
          <w:tcPr>
            <w:tcW w:w="3118" w:type="dxa"/>
            <w:tcBorders>
              <w:top w:val="nil"/>
              <w:left w:val="single" w:sz="6" w:space="0" w:color="auto"/>
              <w:bottom w:val="single" w:sz="6" w:space="0" w:color="auto"/>
              <w:right w:val="single" w:sz="6" w:space="0" w:color="auto"/>
            </w:tcBorders>
          </w:tcPr>
          <w:p w14:paraId="7DFDD652" w14:textId="77777777" w:rsidR="00DA0E45" w:rsidRDefault="00DA0E45" w:rsidP="00342BA4">
            <w:pPr>
              <w:overflowPunct w:val="0"/>
              <w:autoSpaceDE w:val="0"/>
              <w:autoSpaceDN w:val="0"/>
              <w:adjustRightInd w:val="0"/>
              <w:spacing w:before="60" w:after="60"/>
              <w:ind w:right="-14"/>
              <w:jc w:val="both"/>
              <w:rPr>
                <w:b/>
              </w:rPr>
            </w:pPr>
            <w:r>
              <w:t xml:space="preserve">10 razy na </w:t>
            </w:r>
            <w:smartTag w:uri="urn:schemas-microsoft-com:office:smarttags" w:element="metricconverter">
              <w:smartTagPr>
                <w:attr w:name="ProductID" w:val="1 km"/>
              </w:smartTagPr>
              <w:r>
                <w:t>1 km</w:t>
              </w:r>
            </w:smartTag>
          </w:p>
        </w:tc>
      </w:tr>
      <w:tr w:rsidR="00DA0E45" w14:paraId="46B57E59"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301C1D43" w14:textId="77777777" w:rsidR="00DA0E45" w:rsidRDefault="00DA0E45" w:rsidP="00342BA4">
            <w:pPr>
              <w:overflowPunct w:val="0"/>
              <w:autoSpaceDE w:val="0"/>
              <w:autoSpaceDN w:val="0"/>
              <w:adjustRightInd w:val="0"/>
              <w:spacing w:before="180" w:after="60"/>
              <w:ind w:right="-11"/>
              <w:jc w:val="center"/>
              <w:rPr>
                <w:b/>
              </w:rPr>
            </w:pPr>
            <w:r>
              <w:t>2</w:t>
            </w:r>
          </w:p>
        </w:tc>
        <w:tc>
          <w:tcPr>
            <w:tcW w:w="3675" w:type="dxa"/>
            <w:tcBorders>
              <w:top w:val="single" w:sz="6" w:space="0" w:color="auto"/>
              <w:left w:val="single" w:sz="6" w:space="0" w:color="auto"/>
              <w:bottom w:val="single" w:sz="6" w:space="0" w:color="auto"/>
              <w:right w:val="single" w:sz="6" w:space="0" w:color="auto"/>
            </w:tcBorders>
          </w:tcPr>
          <w:p w14:paraId="419B64B6" w14:textId="77777777" w:rsidR="00DA0E45" w:rsidRDefault="00DA0E45" w:rsidP="00342BA4">
            <w:pPr>
              <w:overflowPunct w:val="0"/>
              <w:autoSpaceDE w:val="0"/>
              <w:autoSpaceDN w:val="0"/>
              <w:adjustRightInd w:val="0"/>
              <w:spacing w:before="180" w:after="60"/>
              <w:ind w:right="-11"/>
              <w:jc w:val="both"/>
              <w:rPr>
                <w:b/>
              </w:rPr>
            </w:pPr>
            <w:r>
              <w:t>Równość podłużna</w:t>
            </w:r>
          </w:p>
        </w:tc>
        <w:tc>
          <w:tcPr>
            <w:tcW w:w="3118" w:type="dxa"/>
            <w:tcBorders>
              <w:top w:val="single" w:sz="6" w:space="0" w:color="auto"/>
              <w:left w:val="single" w:sz="6" w:space="0" w:color="auto"/>
              <w:bottom w:val="single" w:sz="6" w:space="0" w:color="auto"/>
              <w:right w:val="single" w:sz="6" w:space="0" w:color="auto"/>
            </w:tcBorders>
          </w:tcPr>
          <w:p w14:paraId="01737E00" w14:textId="77777777" w:rsidR="00DA0E45" w:rsidRDefault="00DA0E45" w:rsidP="00342BA4">
            <w:pPr>
              <w:overflowPunct w:val="0"/>
              <w:autoSpaceDE w:val="0"/>
              <w:autoSpaceDN w:val="0"/>
              <w:adjustRightInd w:val="0"/>
              <w:spacing w:before="60" w:after="60"/>
              <w:ind w:right="-14"/>
              <w:jc w:val="both"/>
              <w:rPr>
                <w:b/>
              </w:rPr>
            </w:pPr>
            <w:r>
              <w:t xml:space="preserve">w sposób ciągły </w:t>
            </w:r>
            <w:proofErr w:type="spellStart"/>
            <w:r>
              <w:t>planografem</w:t>
            </w:r>
            <w:proofErr w:type="spellEnd"/>
            <w:r>
              <w:t xml:space="preserve"> albo co </w:t>
            </w:r>
            <w:smartTag w:uri="urn:schemas-microsoft-com:office:smarttags" w:element="metricconverter">
              <w:smartTagPr>
                <w:attr w:name="ProductID" w:val="20 m"/>
              </w:smartTagPr>
              <w:r>
                <w:t>20 m</w:t>
              </w:r>
            </w:smartTag>
            <w:r>
              <w:t xml:space="preserve"> łatą na każdym pasie ruchu</w:t>
            </w:r>
          </w:p>
        </w:tc>
      </w:tr>
      <w:tr w:rsidR="00DA0E45" w14:paraId="5188898E"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3BBCE696" w14:textId="77777777" w:rsidR="00DA0E45" w:rsidRDefault="00DA0E45" w:rsidP="00342BA4">
            <w:pPr>
              <w:overflowPunct w:val="0"/>
              <w:autoSpaceDE w:val="0"/>
              <w:autoSpaceDN w:val="0"/>
              <w:adjustRightInd w:val="0"/>
              <w:spacing w:before="60" w:after="60"/>
              <w:ind w:right="-14"/>
              <w:jc w:val="center"/>
              <w:rPr>
                <w:b/>
              </w:rPr>
            </w:pPr>
            <w:r>
              <w:t>3</w:t>
            </w:r>
          </w:p>
        </w:tc>
        <w:tc>
          <w:tcPr>
            <w:tcW w:w="3675" w:type="dxa"/>
            <w:tcBorders>
              <w:top w:val="single" w:sz="6" w:space="0" w:color="auto"/>
              <w:left w:val="single" w:sz="6" w:space="0" w:color="auto"/>
              <w:bottom w:val="single" w:sz="6" w:space="0" w:color="auto"/>
              <w:right w:val="single" w:sz="6" w:space="0" w:color="auto"/>
            </w:tcBorders>
          </w:tcPr>
          <w:p w14:paraId="58E6EE05" w14:textId="77777777" w:rsidR="00DA0E45" w:rsidRDefault="00DA0E45" w:rsidP="00342BA4">
            <w:pPr>
              <w:overflowPunct w:val="0"/>
              <w:autoSpaceDE w:val="0"/>
              <w:autoSpaceDN w:val="0"/>
              <w:adjustRightInd w:val="0"/>
              <w:spacing w:before="60" w:after="60"/>
              <w:ind w:right="-14"/>
              <w:jc w:val="both"/>
              <w:rPr>
                <w:b/>
              </w:rPr>
            </w:pPr>
            <w:r>
              <w:t>Równość poprzeczna</w:t>
            </w:r>
          </w:p>
        </w:tc>
        <w:tc>
          <w:tcPr>
            <w:tcW w:w="3118" w:type="dxa"/>
            <w:tcBorders>
              <w:top w:val="single" w:sz="6" w:space="0" w:color="auto"/>
              <w:left w:val="single" w:sz="6" w:space="0" w:color="auto"/>
              <w:bottom w:val="single" w:sz="6" w:space="0" w:color="auto"/>
              <w:right w:val="single" w:sz="6" w:space="0" w:color="auto"/>
            </w:tcBorders>
          </w:tcPr>
          <w:p w14:paraId="2E461461" w14:textId="77777777" w:rsidR="00DA0E45" w:rsidRDefault="00DA0E45" w:rsidP="00342BA4">
            <w:pPr>
              <w:overflowPunct w:val="0"/>
              <w:autoSpaceDE w:val="0"/>
              <w:autoSpaceDN w:val="0"/>
              <w:adjustRightInd w:val="0"/>
              <w:spacing w:before="60" w:after="60"/>
              <w:ind w:right="-14"/>
              <w:jc w:val="both"/>
              <w:rPr>
                <w:b/>
              </w:rPr>
            </w:pPr>
            <w:r>
              <w:t xml:space="preserve">10 razy na </w:t>
            </w:r>
            <w:smartTag w:uri="urn:schemas-microsoft-com:office:smarttags" w:element="metricconverter">
              <w:smartTagPr>
                <w:attr w:name="ProductID" w:val="1 km"/>
              </w:smartTagPr>
              <w:r>
                <w:t>1 km</w:t>
              </w:r>
            </w:smartTag>
          </w:p>
        </w:tc>
      </w:tr>
      <w:tr w:rsidR="00DA0E45" w14:paraId="45152A83"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7E11EEE3" w14:textId="77777777" w:rsidR="00DA0E45" w:rsidRDefault="00DA0E45" w:rsidP="00342BA4">
            <w:pPr>
              <w:overflowPunct w:val="0"/>
              <w:autoSpaceDE w:val="0"/>
              <w:autoSpaceDN w:val="0"/>
              <w:adjustRightInd w:val="0"/>
              <w:spacing w:before="60" w:after="60"/>
              <w:ind w:right="-14"/>
              <w:jc w:val="center"/>
              <w:rPr>
                <w:b/>
              </w:rPr>
            </w:pPr>
            <w:r>
              <w:t>4</w:t>
            </w:r>
          </w:p>
        </w:tc>
        <w:tc>
          <w:tcPr>
            <w:tcW w:w="3675" w:type="dxa"/>
            <w:tcBorders>
              <w:top w:val="single" w:sz="6" w:space="0" w:color="auto"/>
              <w:left w:val="single" w:sz="6" w:space="0" w:color="auto"/>
              <w:bottom w:val="single" w:sz="6" w:space="0" w:color="auto"/>
              <w:right w:val="single" w:sz="6" w:space="0" w:color="auto"/>
            </w:tcBorders>
          </w:tcPr>
          <w:p w14:paraId="110686A9" w14:textId="77777777" w:rsidR="00DA0E45" w:rsidRDefault="00DA0E45" w:rsidP="00342BA4">
            <w:pPr>
              <w:overflowPunct w:val="0"/>
              <w:autoSpaceDE w:val="0"/>
              <w:autoSpaceDN w:val="0"/>
              <w:adjustRightInd w:val="0"/>
              <w:spacing w:before="60" w:after="60"/>
              <w:ind w:right="-14"/>
              <w:jc w:val="both"/>
              <w:rPr>
                <w:b/>
              </w:rPr>
            </w:pPr>
            <w:r>
              <w:t>Spadki poprzeczne*</w:t>
            </w:r>
            <w:r>
              <w:rPr>
                <w:vertAlign w:val="superscript"/>
              </w:rPr>
              <w:t>)</w:t>
            </w:r>
          </w:p>
        </w:tc>
        <w:tc>
          <w:tcPr>
            <w:tcW w:w="3118" w:type="dxa"/>
            <w:tcBorders>
              <w:top w:val="single" w:sz="6" w:space="0" w:color="auto"/>
              <w:left w:val="single" w:sz="6" w:space="0" w:color="auto"/>
              <w:bottom w:val="single" w:sz="6" w:space="0" w:color="auto"/>
              <w:right w:val="single" w:sz="6" w:space="0" w:color="auto"/>
            </w:tcBorders>
          </w:tcPr>
          <w:p w14:paraId="4268AF2D" w14:textId="77777777" w:rsidR="00DA0E45" w:rsidRDefault="00DA0E45" w:rsidP="00342BA4">
            <w:pPr>
              <w:overflowPunct w:val="0"/>
              <w:autoSpaceDE w:val="0"/>
              <w:autoSpaceDN w:val="0"/>
              <w:adjustRightInd w:val="0"/>
              <w:spacing w:before="60" w:after="60"/>
              <w:ind w:right="-14"/>
              <w:jc w:val="both"/>
              <w:rPr>
                <w:b/>
              </w:rPr>
            </w:pPr>
            <w:r>
              <w:t xml:space="preserve">10 razy na </w:t>
            </w:r>
            <w:smartTag w:uri="urn:schemas-microsoft-com:office:smarttags" w:element="metricconverter">
              <w:smartTagPr>
                <w:attr w:name="ProductID" w:val="1 km"/>
              </w:smartTagPr>
              <w:r>
                <w:t>1 km</w:t>
              </w:r>
            </w:smartTag>
          </w:p>
        </w:tc>
      </w:tr>
      <w:tr w:rsidR="00DA0E45" w14:paraId="4D554EA4"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580CC346" w14:textId="77777777" w:rsidR="00DA0E45" w:rsidRDefault="00DA0E45" w:rsidP="00342BA4">
            <w:pPr>
              <w:overflowPunct w:val="0"/>
              <w:autoSpaceDE w:val="0"/>
              <w:autoSpaceDN w:val="0"/>
              <w:adjustRightInd w:val="0"/>
              <w:spacing w:before="180" w:after="60"/>
              <w:ind w:right="-11"/>
              <w:jc w:val="center"/>
              <w:rPr>
                <w:b/>
              </w:rPr>
            </w:pPr>
            <w:r>
              <w:t>5</w:t>
            </w:r>
          </w:p>
        </w:tc>
        <w:tc>
          <w:tcPr>
            <w:tcW w:w="3675" w:type="dxa"/>
            <w:tcBorders>
              <w:top w:val="single" w:sz="6" w:space="0" w:color="auto"/>
              <w:left w:val="single" w:sz="6" w:space="0" w:color="auto"/>
              <w:bottom w:val="single" w:sz="6" w:space="0" w:color="auto"/>
              <w:right w:val="single" w:sz="6" w:space="0" w:color="auto"/>
            </w:tcBorders>
          </w:tcPr>
          <w:p w14:paraId="7CAC2C8B" w14:textId="77777777" w:rsidR="00DA0E45" w:rsidRDefault="00DA0E45" w:rsidP="00342BA4">
            <w:pPr>
              <w:overflowPunct w:val="0"/>
              <w:autoSpaceDE w:val="0"/>
              <w:autoSpaceDN w:val="0"/>
              <w:adjustRightInd w:val="0"/>
              <w:spacing w:before="180" w:after="60"/>
              <w:ind w:right="-11"/>
              <w:jc w:val="both"/>
              <w:rPr>
                <w:b/>
              </w:rPr>
            </w:pPr>
            <w:r>
              <w:t>Rzędne wysokościowe</w:t>
            </w:r>
          </w:p>
        </w:tc>
        <w:tc>
          <w:tcPr>
            <w:tcW w:w="3118" w:type="dxa"/>
            <w:tcBorders>
              <w:top w:val="single" w:sz="6" w:space="0" w:color="auto"/>
              <w:left w:val="single" w:sz="6" w:space="0" w:color="auto"/>
              <w:bottom w:val="single" w:sz="6" w:space="0" w:color="auto"/>
              <w:right w:val="single" w:sz="6" w:space="0" w:color="auto"/>
            </w:tcBorders>
          </w:tcPr>
          <w:p w14:paraId="7435C1B6" w14:textId="77777777" w:rsidR="00DA0E45" w:rsidRDefault="00DA0E45" w:rsidP="00342BA4">
            <w:pPr>
              <w:overflowPunct w:val="0"/>
              <w:autoSpaceDE w:val="0"/>
              <w:autoSpaceDN w:val="0"/>
              <w:adjustRightInd w:val="0"/>
              <w:spacing w:before="60" w:after="60"/>
              <w:ind w:right="-14"/>
              <w:jc w:val="both"/>
              <w:rPr>
                <w:b/>
              </w:rPr>
            </w:pPr>
            <w:r>
              <w:t xml:space="preserve">co </w:t>
            </w:r>
            <w:smartTag w:uri="urn:schemas-microsoft-com:office:smarttags" w:element="metricconverter">
              <w:smartTagPr>
                <w:attr w:name="ProductID" w:val="100 m"/>
              </w:smartTagPr>
              <w:r>
                <w:t>100 m</w:t>
              </w:r>
            </w:smartTag>
            <w:r>
              <w:t xml:space="preserve"> w osi jezdni i na jej krawędziach</w:t>
            </w:r>
          </w:p>
        </w:tc>
      </w:tr>
      <w:tr w:rsidR="00DA0E45" w14:paraId="3F248101"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5CB6B63A" w14:textId="77777777" w:rsidR="00DA0E45" w:rsidRDefault="00DA0E45" w:rsidP="00342BA4">
            <w:pPr>
              <w:overflowPunct w:val="0"/>
              <w:autoSpaceDE w:val="0"/>
              <w:autoSpaceDN w:val="0"/>
              <w:adjustRightInd w:val="0"/>
              <w:spacing w:before="60" w:after="60"/>
              <w:ind w:right="-14"/>
              <w:jc w:val="center"/>
              <w:rPr>
                <w:b/>
              </w:rPr>
            </w:pPr>
            <w:r>
              <w:t>6</w:t>
            </w:r>
          </w:p>
        </w:tc>
        <w:tc>
          <w:tcPr>
            <w:tcW w:w="3675" w:type="dxa"/>
            <w:tcBorders>
              <w:top w:val="single" w:sz="6" w:space="0" w:color="auto"/>
              <w:left w:val="single" w:sz="6" w:space="0" w:color="auto"/>
              <w:bottom w:val="single" w:sz="6" w:space="0" w:color="auto"/>
              <w:right w:val="single" w:sz="6" w:space="0" w:color="auto"/>
            </w:tcBorders>
          </w:tcPr>
          <w:p w14:paraId="6879C84D" w14:textId="77777777" w:rsidR="00DA0E45" w:rsidRDefault="00DA0E45" w:rsidP="00342BA4">
            <w:pPr>
              <w:overflowPunct w:val="0"/>
              <w:autoSpaceDE w:val="0"/>
              <w:autoSpaceDN w:val="0"/>
              <w:adjustRightInd w:val="0"/>
              <w:spacing w:before="60" w:after="60"/>
              <w:ind w:right="-14"/>
              <w:jc w:val="both"/>
              <w:rPr>
                <w:b/>
              </w:rPr>
            </w:pPr>
            <w:r>
              <w:t>Ukształtowanie osi w planie*</w:t>
            </w:r>
            <w:r>
              <w:rPr>
                <w:vertAlign w:val="superscript"/>
              </w:rPr>
              <w:t>)</w:t>
            </w:r>
          </w:p>
        </w:tc>
        <w:tc>
          <w:tcPr>
            <w:tcW w:w="3118" w:type="dxa"/>
            <w:tcBorders>
              <w:top w:val="single" w:sz="6" w:space="0" w:color="auto"/>
              <w:left w:val="single" w:sz="6" w:space="0" w:color="auto"/>
              <w:bottom w:val="single" w:sz="6" w:space="0" w:color="auto"/>
              <w:right w:val="single" w:sz="6" w:space="0" w:color="auto"/>
            </w:tcBorders>
          </w:tcPr>
          <w:p w14:paraId="23062E22" w14:textId="77777777" w:rsidR="00DA0E45" w:rsidRDefault="00DA0E45" w:rsidP="00342BA4">
            <w:pPr>
              <w:overflowPunct w:val="0"/>
              <w:autoSpaceDE w:val="0"/>
              <w:autoSpaceDN w:val="0"/>
              <w:adjustRightInd w:val="0"/>
              <w:spacing w:before="60" w:after="60"/>
              <w:ind w:right="-14"/>
              <w:jc w:val="center"/>
              <w:rPr>
                <w:b/>
              </w:rPr>
            </w:pPr>
            <w:r>
              <w:t xml:space="preserve">co </w:t>
            </w:r>
            <w:smartTag w:uri="urn:schemas-microsoft-com:office:smarttags" w:element="metricconverter">
              <w:smartTagPr>
                <w:attr w:name="ProductID" w:val="100 m"/>
              </w:smartTagPr>
              <w:r>
                <w:t>100 m</w:t>
              </w:r>
            </w:smartTag>
          </w:p>
        </w:tc>
      </w:tr>
      <w:tr w:rsidR="00DA0E45" w14:paraId="73BFCA14"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7675D51B" w14:textId="77777777" w:rsidR="00DA0E45" w:rsidRDefault="00DA0E45" w:rsidP="00342BA4">
            <w:pPr>
              <w:overflowPunct w:val="0"/>
              <w:autoSpaceDE w:val="0"/>
              <w:autoSpaceDN w:val="0"/>
              <w:adjustRightInd w:val="0"/>
              <w:spacing w:before="60" w:after="60"/>
              <w:ind w:right="-14"/>
              <w:jc w:val="center"/>
              <w:rPr>
                <w:b/>
              </w:rPr>
            </w:pPr>
            <w:r>
              <w:t>7</w:t>
            </w:r>
          </w:p>
        </w:tc>
        <w:tc>
          <w:tcPr>
            <w:tcW w:w="3675" w:type="dxa"/>
            <w:tcBorders>
              <w:top w:val="single" w:sz="6" w:space="0" w:color="auto"/>
              <w:left w:val="single" w:sz="6" w:space="0" w:color="auto"/>
              <w:bottom w:val="single" w:sz="6" w:space="0" w:color="auto"/>
              <w:right w:val="single" w:sz="6" w:space="0" w:color="auto"/>
            </w:tcBorders>
          </w:tcPr>
          <w:p w14:paraId="217D7388" w14:textId="77777777" w:rsidR="00DA0E45" w:rsidRDefault="00DA0E45" w:rsidP="00342BA4">
            <w:pPr>
              <w:overflowPunct w:val="0"/>
              <w:autoSpaceDE w:val="0"/>
              <w:autoSpaceDN w:val="0"/>
              <w:adjustRightInd w:val="0"/>
              <w:spacing w:before="60" w:after="60"/>
              <w:ind w:right="-14"/>
              <w:jc w:val="both"/>
              <w:rPr>
                <w:b/>
              </w:rPr>
            </w:pPr>
            <w:r>
              <w:t>Grubość podbudowy</w:t>
            </w:r>
          </w:p>
        </w:tc>
        <w:tc>
          <w:tcPr>
            <w:tcW w:w="3118" w:type="dxa"/>
            <w:tcBorders>
              <w:top w:val="single" w:sz="6" w:space="0" w:color="auto"/>
              <w:left w:val="single" w:sz="6" w:space="0" w:color="auto"/>
              <w:bottom w:val="single" w:sz="6" w:space="0" w:color="auto"/>
              <w:right w:val="single" w:sz="6" w:space="0" w:color="auto"/>
            </w:tcBorders>
          </w:tcPr>
          <w:p w14:paraId="64C5F2A9" w14:textId="77777777" w:rsidR="00DA0E45" w:rsidRDefault="00DA0E45" w:rsidP="00342BA4">
            <w:pPr>
              <w:overflowPunct w:val="0"/>
              <w:autoSpaceDE w:val="0"/>
              <w:autoSpaceDN w:val="0"/>
              <w:adjustRightInd w:val="0"/>
              <w:ind w:right="-11"/>
              <w:jc w:val="both"/>
              <w:rPr>
                <w:vertAlign w:val="superscript"/>
              </w:rPr>
            </w:pPr>
            <w:r>
              <w:t xml:space="preserve">Podczas </w:t>
            </w:r>
            <w:proofErr w:type="spellStart"/>
            <w:r>
              <w:t>budowy:w</w:t>
            </w:r>
            <w:proofErr w:type="spellEnd"/>
            <w:r>
              <w:t xml:space="preserve"> 3 punktach na każdej działce roboczej, lecz nie rzadziej niż raz na </w:t>
            </w:r>
            <w:smartTag w:uri="urn:schemas-microsoft-com:office:smarttags" w:element="metricconverter">
              <w:smartTagPr>
                <w:attr w:name="ProductID" w:val="400 m2"/>
              </w:smartTagPr>
              <w:r>
                <w:t>400 m</w:t>
              </w:r>
              <w:r>
                <w:rPr>
                  <w:vertAlign w:val="superscript"/>
                </w:rPr>
                <w:t>2</w:t>
              </w:r>
            </w:smartTag>
          </w:p>
          <w:p w14:paraId="18FB1776" w14:textId="77777777" w:rsidR="00DA0E45" w:rsidRDefault="00DA0E45" w:rsidP="00342BA4">
            <w:pPr>
              <w:overflowPunct w:val="0"/>
              <w:autoSpaceDE w:val="0"/>
              <w:autoSpaceDN w:val="0"/>
              <w:adjustRightInd w:val="0"/>
              <w:ind w:right="-11"/>
              <w:jc w:val="both"/>
              <w:rPr>
                <w:b/>
              </w:rPr>
            </w:pPr>
            <w:r>
              <w:t xml:space="preserve">Przed odbiorem: w 3 punktach, lecz nie rzadziej niż raz na </w:t>
            </w:r>
            <w:smartTag w:uri="urn:schemas-microsoft-com:office:smarttags" w:element="metricconverter">
              <w:smartTagPr>
                <w:attr w:name="ProductID" w:val="2000 m2"/>
              </w:smartTagPr>
              <w:r>
                <w:t>2000 m</w:t>
              </w:r>
              <w:r>
                <w:rPr>
                  <w:vertAlign w:val="superscript"/>
                </w:rPr>
                <w:t>2</w:t>
              </w:r>
            </w:smartTag>
          </w:p>
        </w:tc>
      </w:tr>
      <w:tr w:rsidR="00DA0E45" w14:paraId="42DB506C" w14:textId="77777777" w:rsidTr="00342BA4">
        <w:tblPrEx>
          <w:tblCellMar>
            <w:top w:w="0" w:type="dxa"/>
            <w:bottom w:w="0" w:type="dxa"/>
          </w:tblCellMar>
        </w:tblPrEx>
        <w:tc>
          <w:tcPr>
            <w:tcW w:w="790" w:type="dxa"/>
            <w:tcBorders>
              <w:top w:val="single" w:sz="6" w:space="0" w:color="auto"/>
              <w:left w:val="single" w:sz="6" w:space="0" w:color="auto"/>
              <w:bottom w:val="single" w:sz="6" w:space="0" w:color="auto"/>
              <w:right w:val="single" w:sz="6" w:space="0" w:color="auto"/>
            </w:tcBorders>
          </w:tcPr>
          <w:p w14:paraId="1FB854A8" w14:textId="77777777" w:rsidR="00DA0E45" w:rsidRDefault="00DA0E45" w:rsidP="00342BA4">
            <w:pPr>
              <w:overflowPunct w:val="0"/>
              <w:autoSpaceDE w:val="0"/>
              <w:autoSpaceDN w:val="0"/>
              <w:adjustRightInd w:val="0"/>
              <w:spacing w:before="60" w:after="60"/>
              <w:ind w:right="-14"/>
              <w:jc w:val="center"/>
              <w:rPr>
                <w:b/>
              </w:rPr>
            </w:pPr>
            <w:r>
              <w:t>8</w:t>
            </w:r>
          </w:p>
        </w:tc>
        <w:tc>
          <w:tcPr>
            <w:tcW w:w="3675" w:type="dxa"/>
            <w:tcBorders>
              <w:top w:val="single" w:sz="6" w:space="0" w:color="auto"/>
              <w:left w:val="single" w:sz="6" w:space="0" w:color="auto"/>
              <w:bottom w:val="single" w:sz="6" w:space="0" w:color="auto"/>
              <w:right w:val="single" w:sz="6" w:space="0" w:color="auto"/>
            </w:tcBorders>
          </w:tcPr>
          <w:p w14:paraId="7D948060" w14:textId="77777777" w:rsidR="00DA0E45" w:rsidRDefault="00DA0E45" w:rsidP="00342BA4">
            <w:pPr>
              <w:overflowPunct w:val="0"/>
              <w:autoSpaceDE w:val="0"/>
              <w:autoSpaceDN w:val="0"/>
              <w:adjustRightInd w:val="0"/>
              <w:spacing w:before="60" w:after="60"/>
              <w:ind w:right="-14"/>
              <w:jc w:val="both"/>
              <w:rPr>
                <w:b/>
              </w:rPr>
            </w:pPr>
            <w:r>
              <w:t>Nośność podbudowy</w:t>
            </w:r>
          </w:p>
        </w:tc>
        <w:tc>
          <w:tcPr>
            <w:tcW w:w="3118" w:type="dxa"/>
            <w:tcBorders>
              <w:top w:val="single" w:sz="6" w:space="0" w:color="auto"/>
              <w:left w:val="single" w:sz="6" w:space="0" w:color="auto"/>
              <w:bottom w:val="single" w:sz="6" w:space="0" w:color="auto"/>
              <w:right w:val="single" w:sz="6" w:space="0" w:color="auto"/>
            </w:tcBorders>
          </w:tcPr>
          <w:p w14:paraId="450DF0CA" w14:textId="77777777" w:rsidR="00DA0E45" w:rsidRDefault="00DA0E45" w:rsidP="00342BA4">
            <w:pPr>
              <w:overflowPunct w:val="0"/>
              <w:autoSpaceDE w:val="0"/>
              <w:autoSpaceDN w:val="0"/>
              <w:adjustRightInd w:val="0"/>
              <w:spacing w:before="60" w:after="60"/>
              <w:ind w:right="-14"/>
              <w:jc w:val="both"/>
              <w:rPr>
                <w:b/>
              </w:rPr>
            </w:pPr>
            <w:r>
              <w:t xml:space="preserve">nie rzadziej niż raz na </w:t>
            </w:r>
            <w:smartTag w:uri="urn:schemas-microsoft-com:office:smarttags" w:element="metricconverter">
              <w:smartTagPr>
                <w:attr w:name="ProductID" w:val="3000 m2"/>
              </w:smartTagPr>
              <w:r>
                <w:t>3000 m</w:t>
              </w:r>
              <w:r>
                <w:rPr>
                  <w:vertAlign w:val="superscript"/>
                </w:rPr>
                <w:t>2</w:t>
              </w:r>
            </w:smartTag>
          </w:p>
        </w:tc>
      </w:tr>
    </w:tbl>
    <w:p w14:paraId="72A90D4F" w14:textId="77777777" w:rsidR="00DA0E45" w:rsidRDefault="00DA0E45" w:rsidP="00DA0E45">
      <w:pPr>
        <w:overflowPunct w:val="0"/>
        <w:autoSpaceDE w:val="0"/>
        <w:autoSpaceDN w:val="0"/>
        <w:adjustRightInd w:val="0"/>
        <w:spacing w:before="120" w:after="120"/>
        <w:ind w:left="284" w:right="-11" w:hanging="284"/>
        <w:jc w:val="both"/>
      </w:pPr>
      <w:r>
        <w:t>*) Dodatkowe pomiary spadków poprzecznych i ukształtowanie osi w planie należy wykonać w punktach głównych łuków poziomych.</w:t>
      </w:r>
    </w:p>
    <w:p w14:paraId="5A7073E1" w14:textId="77777777" w:rsidR="00DA0E45" w:rsidRDefault="00DA0E45" w:rsidP="00DA0E45">
      <w:pPr>
        <w:overflowPunct w:val="0"/>
        <w:autoSpaceDE w:val="0"/>
        <w:autoSpaceDN w:val="0"/>
        <w:adjustRightInd w:val="0"/>
        <w:spacing w:before="120" w:after="120"/>
        <w:ind w:left="284" w:right="-11" w:hanging="284"/>
        <w:jc w:val="both"/>
      </w:pPr>
      <w:r>
        <w:t> </w:t>
      </w:r>
      <w:r>
        <w:rPr>
          <w:b/>
        </w:rPr>
        <w:t xml:space="preserve">6.4.2. </w:t>
      </w:r>
      <w:r>
        <w:t>Szerokość podbudowy</w:t>
      </w:r>
    </w:p>
    <w:p w14:paraId="271A5309" w14:textId="77777777" w:rsidR="00DA0E45" w:rsidRDefault="00DA0E45" w:rsidP="00DA0E45">
      <w:pPr>
        <w:overflowPunct w:val="0"/>
        <w:autoSpaceDE w:val="0"/>
        <w:autoSpaceDN w:val="0"/>
        <w:adjustRightInd w:val="0"/>
        <w:ind w:right="-11"/>
        <w:jc w:val="both"/>
      </w:pPr>
      <w:r>
        <w:t>Szerokość podbudowy nie może różnić się od szerokości projektowanej o więcej niż +</w:t>
      </w:r>
      <w:smartTag w:uri="urn:schemas-microsoft-com:office:smarttags" w:element="metricconverter">
        <w:smartTagPr>
          <w:attr w:name="ProductID" w:val="10 cm"/>
        </w:smartTagPr>
        <w:r>
          <w:t>10 cm</w:t>
        </w:r>
      </w:smartTag>
      <w:r>
        <w:t xml:space="preserve">, </w:t>
      </w:r>
      <w:smartTag w:uri="urn:schemas-microsoft-com:office:smarttags" w:element="metricconverter">
        <w:smartTagPr>
          <w:attr w:name="ProductID" w:val="-5 cm"/>
        </w:smartTagPr>
        <w:r>
          <w:t>-5 cm</w:t>
        </w:r>
      </w:smartTag>
      <w:r>
        <w:t>.</w:t>
      </w:r>
    </w:p>
    <w:p w14:paraId="37F04102" w14:textId="77777777" w:rsidR="00DA0E45" w:rsidRDefault="00DA0E45" w:rsidP="00DA0E45">
      <w:pPr>
        <w:overflowPunct w:val="0"/>
        <w:autoSpaceDE w:val="0"/>
        <w:autoSpaceDN w:val="0"/>
        <w:adjustRightInd w:val="0"/>
        <w:ind w:right="-11"/>
        <w:jc w:val="both"/>
      </w:pPr>
      <w:r>
        <w:t xml:space="preserve">Na jezdniach bez krawężników szerokość podbudowy powinna być większa od szerokości warstwy wyżej leżącej o co najmniej </w:t>
      </w:r>
      <w:smartTag w:uri="urn:schemas-microsoft-com:office:smarttags" w:element="metricconverter">
        <w:smartTagPr>
          <w:attr w:name="ProductID" w:val="25 cm"/>
        </w:smartTagPr>
        <w:r>
          <w:t>25 cm</w:t>
        </w:r>
      </w:smartTag>
      <w:r>
        <w:t xml:space="preserve"> lub o wartość wskazaną w dokumentacji projektowej.</w:t>
      </w:r>
    </w:p>
    <w:p w14:paraId="16FAC12C" w14:textId="77777777" w:rsidR="00DA0E45" w:rsidRDefault="00DA0E45" w:rsidP="00DA0E45">
      <w:pPr>
        <w:overflowPunct w:val="0"/>
        <w:autoSpaceDE w:val="0"/>
        <w:autoSpaceDN w:val="0"/>
        <w:adjustRightInd w:val="0"/>
        <w:spacing w:before="120" w:after="120"/>
        <w:ind w:right="-11"/>
        <w:jc w:val="both"/>
      </w:pPr>
      <w:r>
        <w:rPr>
          <w:b/>
        </w:rPr>
        <w:t xml:space="preserve">6.4.3. </w:t>
      </w:r>
      <w:r>
        <w:t>Równość podbudowy</w:t>
      </w:r>
    </w:p>
    <w:p w14:paraId="2CD1677D" w14:textId="77777777" w:rsidR="00DA0E45" w:rsidRDefault="00DA0E45" w:rsidP="00DA0E45">
      <w:pPr>
        <w:overflowPunct w:val="0"/>
        <w:autoSpaceDE w:val="0"/>
        <w:autoSpaceDN w:val="0"/>
        <w:adjustRightInd w:val="0"/>
        <w:ind w:right="-11"/>
        <w:jc w:val="both"/>
      </w:pPr>
      <w:r>
        <w:lastRenderedPageBreak/>
        <w:tab/>
        <w:t xml:space="preserve">Nierówności podłużne podbudowy należy mierzyć 4-metrową łatą lub </w:t>
      </w:r>
      <w:proofErr w:type="spellStart"/>
      <w:r>
        <w:t>planografem</w:t>
      </w:r>
      <w:proofErr w:type="spellEnd"/>
      <w:r>
        <w:t xml:space="preserve">, zgodnie z normą BN-68/8931-04 [11]. </w:t>
      </w:r>
    </w:p>
    <w:p w14:paraId="787BEA38" w14:textId="77777777" w:rsidR="00DA0E45" w:rsidRDefault="00DA0E45" w:rsidP="00DA0E45">
      <w:pPr>
        <w:overflowPunct w:val="0"/>
        <w:autoSpaceDE w:val="0"/>
        <w:autoSpaceDN w:val="0"/>
        <w:adjustRightInd w:val="0"/>
        <w:ind w:right="-11"/>
        <w:jc w:val="both"/>
      </w:pPr>
      <w:r>
        <w:t>Nierówności poprzeczne podbudowy należy mierzyć 4-metrową łatą. Nierówności podbudowy nie mogą przekraczać:</w:t>
      </w:r>
    </w:p>
    <w:p w14:paraId="44D54EF2" w14:textId="77777777" w:rsidR="00DA0E45" w:rsidRDefault="00DA0E45" w:rsidP="00DA0E45">
      <w:pPr>
        <w:overflowPunct w:val="0"/>
        <w:autoSpaceDE w:val="0"/>
        <w:autoSpaceDN w:val="0"/>
        <w:adjustRightInd w:val="0"/>
        <w:ind w:right="-11"/>
        <w:jc w:val="both"/>
      </w:pPr>
      <w:r>
        <w:t xml:space="preserve">- </w:t>
      </w:r>
      <w:smartTag w:uri="urn:schemas-microsoft-com:office:smarttags" w:element="metricconverter">
        <w:smartTagPr>
          <w:attr w:name="ProductID" w:val="12 mm"/>
        </w:smartTagPr>
        <w:r>
          <w:t>12 mm</w:t>
        </w:r>
      </w:smartTag>
      <w:r>
        <w:t xml:space="preserve"> dla podbudowy zasadniczej,</w:t>
      </w:r>
    </w:p>
    <w:p w14:paraId="46426345" w14:textId="77777777" w:rsidR="00DA0E45" w:rsidRDefault="00DA0E45" w:rsidP="00DA0E45">
      <w:pPr>
        <w:overflowPunct w:val="0"/>
        <w:autoSpaceDE w:val="0"/>
        <w:autoSpaceDN w:val="0"/>
        <w:adjustRightInd w:val="0"/>
        <w:ind w:right="-11"/>
        <w:jc w:val="both"/>
      </w:pPr>
      <w:r>
        <w:t xml:space="preserve">- </w:t>
      </w:r>
      <w:smartTag w:uri="urn:schemas-microsoft-com:office:smarttags" w:element="metricconverter">
        <w:smartTagPr>
          <w:attr w:name="ProductID" w:val="15 mm"/>
        </w:smartTagPr>
        <w:r>
          <w:t>15 mm</w:t>
        </w:r>
      </w:smartTag>
      <w:r>
        <w:t xml:space="preserve"> dla podbudowy pomocniczej.</w:t>
      </w:r>
    </w:p>
    <w:p w14:paraId="7BE7213C" w14:textId="77777777" w:rsidR="00DA0E45" w:rsidRDefault="00DA0E45" w:rsidP="00DA0E45">
      <w:pPr>
        <w:overflowPunct w:val="0"/>
        <w:autoSpaceDE w:val="0"/>
        <w:autoSpaceDN w:val="0"/>
        <w:adjustRightInd w:val="0"/>
        <w:spacing w:before="120" w:after="120"/>
        <w:ind w:right="-11"/>
        <w:jc w:val="both"/>
      </w:pPr>
      <w:r>
        <w:rPr>
          <w:b/>
        </w:rPr>
        <w:t xml:space="preserve">6.4.4. </w:t>
      </w:r>
      <w:r>
        <w:t>Spadki poprzeczne podbudowy</w:t>
      </w:r>
    </w:p>
    <w:p w14:paraId="6CF2EC76" w14:textId="77777777" w:rsidR="00DA0E45" w:rsidRDefault="00DA0E45" w:rsidP="00DA0E45">
      <w:pPr>
        <w:overflowPunct w:val="0"/>
        <w:autoSpaceDE w:val="0"/>
        <w:autoSpaceDN w:val="0"/>
        <w:adjustRightInd w:val="0"/>
        <w:ind w:right="-11"/>
        <w:jc w:val="both"/>
      </w:pPr>
      <w:r>
        <w:t xml:space="preserve">Spadki poprzeczne podbudowy na prostych i łukach powinny być zgodne z dokumentacją projektową z tolerancją </w:t>
      </w:r>
      <w:r>
        <w:sym w:font="Symbol" w:char="00B1"/>
      </w:r>
      <w:r>
        <w:t xml:space="preserve"> 0,5 %.</w:t>
      </w:r>
    </w:p>
    <w:p w14:paraId="3E6659D6" w14:textId="77777777" w:rsidR="00DA0E45" w:rsidRDefault="00DA0E45" w:rsidP="00DA0E45">
      <w:pPr>
        <w:overflowPunct w:val="0"/>
        <w:autoSpaceDE w:val="0"/>
        <w:autoSpaceDN w:val="0"/>
        <w:adjustRightInd w:val="0"/>
        <w:spacing w:before="120" w:after="120"/>
        <w:ind w:right="-11"/>
        <w:jc w:val="both"/>
      </w:pPr>
      <w:r>
        <w:rPr>
          <w:b/>
        </w:rPr>
        <w:t xml:space="preserve">6.4.5. </w:t>
      </w:r>
      <w:r>
        <w:t>Rzędne wysokościowe podbudowy</w:t>
      </w:r>
    </w:p>
    <w:p w14:paraId="77914107" w14:textId="77777777" w:rsidR="00DA0E45" w:rsidRDefault="00DA0E45" w:rsidP="00DA0E45">
      <w:pPr>
        <w:overflowPunct w:val="0"/>
        <w:autoSpaceDE w:val="0"/>
        <w:autoSpaceDN w:val="0"/>
        <w:adjustRightInd w:val="0"/>
        <w:ind w:right="-11"/>
        <w:jc w:val="both"/>
      </w:pPr>
      <w:r>
        <w:tab/>
        <w:t xml:space="preserve">Różnice pomiędzy rzędnymi wysokościowymi podbudowy i rzędnymi projektowanymi nie powinny przekraczać + </w:t>
      </w:r>
      <w:smartTag w:uri="urn:schemas-microsoft-com:office:smarttags" w:element="metricconverter">
        <w:smartTagPr>
          <w:attr w:name="ProductID" w:val="1 cm"/>
        </w:smartTagPr>
        <w:r>
          <w:t>1 cm</w:t>
        </w:r>
      </w:smartTag>
      <w:r>
        <w:t xml:space="preserve">, </w:t>
      </w:r>
      <w:smartTag w:uri="urn:schemas-microsoft-com:office:smarttags" w:element="metricconverter">
        <w:smartTagPr>
          <w:attr w:name="ProductID" w:val="-2 cm"/>
        </w:smartTagPr>
        <w:r>
          <w:t>-2 cm</w:t>
        </w:r>
      </w:smartTag>
      <w:r>
        <w:t>.</w:t>
      </w:r>
    </w:p>
    <w:p w14:paraId="1A78A507" w14:textId="77777777" w:rsidR="00DA0E45" w:rsidRDefault="00DA0E45" w:rsidP="00DA0E45">
      <w:pPr>
        <w:overflowPunct w:val="0"/>
        <w:autoSpaceDE w:val="0"/>
        <w:autoSpaceDN w:val="0"/>
        <w:adjustRightInd w:val="0"/>
        <w:spacing w:before="120" w:after="120"/>
        <w:ind w:right="-11"/>
        <w:jc w:val="both"/>
      </w:pPr>
      <w:r>
        <w:rPr>
          <w:b/>
        </w:rPr>
        <w:t xml:space="preserve">6.4.6. </w:t>
      </w:r>
      <w:r>
        <w:t>Ukształtowanie osi w planie</w:t>
      </w:r>
    </w:p>
    <w:p w14:paraId="215FBE35" w14:textId="77777777" w:rsidR="00DA0E45" w:rsidRDefault="00DA0E45" w:rsidP="00DA0E45">
      <w:pPr>
        <w:overflowPunct w:val="0"/>
        <w:autoSpaceDE w:val="0"/>
        <w:autoSpaceDN w:val="0"/>
        <w:adjustRightInd w:val="0"/>
        <w:ind w:right="-11"/>
        <w:jc w:val="both"/>
      </w:pPr>
      <w:r>
        <w:t xml:space="preserve">Oś podbudowy w planie nie może być przesunięta w stosunku do osi projektowanej o więcej niż </w:t>
      </w:r>
      <w:smartTag w:uri="urn:schemas-microsoft-com:office:smarttags" w:element="metricconverter">
        <w:smartTagPr>
          <w:attr w:name="ProductID" w:val="3 cm"/>
        </w:smartTagPr>
        <w:r>
          <w:t>3 cm</w:t>
        </w:r>
      </w:smartTag>
      <w:r>
        <w:t xml:space="preserve"> dla autostrad i dróg ekspresowych lub o więcej niż </w:t>
      </w:r>
      <w:r>
        <w:sym w:font="Symbol" w:char="00B1"/>
      </w:r>
      <w:r>
        <w:t xml:space="preserve"> </w:t>
      </w:r>
      <w:smartTag w:uri="urn:schemas-microsoft-com:office:smarttags" w:element="metricconverter">
        <w:smartTagPr>
          <w:attr w:name="ProductID" w:val="5 cm"/>
        </w:smartTagPr>
        <w:r>
          <w:t>5 cm</w:t>
        </w:r>
      </w:smartTag>
      <w:r>
        <w:t xml:space="preserve"> dla pozostałych dróg.</w:t>
      </w:r>
    </w:p>
    <w:p w14:paraId="7110C7B9" w14:textId="77777777" w:rsidR="00DA0E45" w:rsidRDefault="00DA0E45" w:rsidP="00DA0E45">
      <w:pPr>
        <w:overflowPunct w:val="0"/>
        <w:autoSpaceDE w:val="0"/>
        <w:autoSpaceDN w:val="0"/>
        <w:adjustRightInd w:val="0"/>
        <w:ind w:right="-11"/>
        <w:jc w:val="both"/>
      </w:pPr>
      <w:r>
        <w:rPr>
          <w:b/>
        </w:rPr>
        <w:t xml:space="preserve">6.4.7. </w:t>
      </w:r>
    </w:p>
    <w:p w14:paraId="2BCB078F" w14:textId="77777777" w:rsidR="00DA0E45" w:rsidRDefault="00DA0E45" w:rsidP="00DA0E45">
      <w:pPr>
        <w:overflowPunct w:val="0"/>
        <w:autoSpaceDE w:val="0"/>
        <w:autoSpaceDN w:val="0"/>
        <w:adjustRightInd w:val="0"/>
        <w:ind w:right="-11"/>
        <w:jc w:val="both"/>
      </w:pPr>
      <w:r>
        <w:t>Grubość podbudowy nie może różnić się od grubości projektowanej o więcej niż:</w:t>
      </w:r>
    </w:p>
    <w:p w14:paraId="26EDBC76" w14:textId="77777777" w:rsidR="00DA0E45" w:rsidRDefault="00DA0E45" w:rsidP="00DA0E45">
      <w:pPr>
        <w:overflowPunct w:val="0"/>
        <w:autoSpaceDE w:val="0"/>
        <w:autoSpaceDN w:val="0"/>
        <w:adjustRightInd w:val="0"/>
        <w:ind w:right="-11"/>
        <w:jc w:val="both"/>
      </w:pPr>
      <w:r>
        <w:t xml:space="preserve">- dla podbudowy zasadniczej </w:t>
      </w:r>
      <w:r>
        <w:sym w:font="Symbol" w:char="00B1"/>
      </w:r>
      <w:r>
        <w:t xml:space="preserve"> </w:t>
      </w:r>
      <w:smartTag w:uri="urn:schemas-microsoft-com:office:smarttags" w:element="metricconverter">
        <w:smartTagPr>
          <w:attr w:name="ProductID" w:val="2 cm"/>
        </w:smartTagPr>
        <w:r>
          <w:t>2 cm</w:t>
        </w:r>
      </w:smartTag>
      <w:r>
        <w:t>,</w:t>
      </w:r>
    </w:p>
    <w:p w14:paraId="0963C799" w14:textId="77777777" w:rsidR="00DA0E45" w:rsidRDefault="00DA0E45" w:rsidP="00DA0E45">
      <w:pPr>
        <w:overflowPunct w:val="0"/>
        <w:autoSpaceDE w:val="0"/>
        <w:autoSpaceDN w:val="0"/>
        <w:adjustRightInd w:val="0"/>
        <w:ind w:right="-11"/>
        <w:jc w:val="both"/>
      </w:pPr>
      <w:r>
        <w:t>- dla podbudowy pomocniczej +</w:t>
      </w:r>
      <w:smartTag w:uri="urn:schemas-microsoft-com:office:smarttags" w:element="metricconverter">
        <w:smartTagPr>
          <w:attr w:name="ProductID" w:val="1 cm"/>
        </w:smartTagPr>
        <w:r>
          <w:t>1 cm</w:t>
        </w:r>
      </w:smartTag>
      <w:r>
        <w:t xml:space="preserve">, </w:t>
      </w:r>
      <w:smartTag w:uri="urn:schemas-microsoft-com:office:smarttags" w:element="metricconverter">
        <w:smartTagPr>
          <w:attr w:name="ProductID" w:val="-2 cm"/>
        </w:smartTagPr>
        <w:r>
          <w:t>-2 cm</w:t>
        </w:r>
      </w:smartTag>
      <w:r>
        <w:t>.</w:t>
      </w:r>
    </w:p>
    <w:p w14:paraId="53ECEC0F" w14:textId="77777777" w:rsidR="00DA0E45" w:rsidRDefault="00DA0E45" w:rsidP="00DA0E45">
      <w:pPr>
        <w:overflowPunct w:val="0"/>
        <w:autoSpaceDE w:val="0"/>
        <w:autoSpaceDN w:val="0"/>
        <w:adjustRightInd w:val="0"/>
        <w:spacing w:before="120" w:after="120"/>
        <w:ind w:right="-11"/>
        <w:jc w:val="both"/>
      </w:pPr>
      <w:r>
        <w:rPr>
          <w:b/>
        </w:rPr>
        <w:t xml:space="preserve">6.4.8. </w:t>
      </w:r>
      <w:r>
        <w:t>Nośność podbudowy</w:t>
      </w:r>
    </w:p>
    <w:p w14:paraId="4328CD1F" w14:textId="77777777" w:rsidR="00DA0E45" w:rsidRDefault="00DA0E45" w:rsidP="00DA0E45">
      <w:pPr>
        <w:overflowPunct w:val="0"/>
        <w:autoSpaceDE w:val="0"/>
        <w:autoSpaceDN w:val="0"/>
        <w:adjustRightInd w:val="0"/>
        <w:ind w:right="-11"/>
        <w:jc w:val="both"/>
      </w:pPr>
      <w:r>
        <w:tab/>
        <w:t>Pomiary nośności podbudowy należy wykonać zgodnie z BN-64/8931-02 [10].</w:t>
      </w:r>
    </w:p>
    <w:p w14:paraId="0F51F7A8" w14:textId="77777777" w:rsidR="00DA0E45" w:rsidRDefault="00DA0E45" w:rsidP="00DA0E45">
      <w:pPr>
        <w:overflowPunct w:val="0"/>
        <w:autoSpaceDE w:val="0"/>
        <w:autoSpaceDN w:val="0"/>
        <w:adjustRightInd w:val="0"/>
        <w:ind w:right="-11"/>
        <w:jc w:val="both"/>
      </w:pPr>
      <w:r>
        <w:tab/>
        <w:t>Podbudowa zasadnicza powinna spełniać wymagania dotyczące nośności, podane w tablicy 5.</w:t>
      </w:r>
    </w:p>
    <w:p w14:paraId="56968FE4" w14:textId="77777777" w:rsidR="00DA0E45" w:rsidRDefault="00DA0E45" w:rsidP="00DA0E45">
      <w:pPr>
        <w:overflowPunct w:val="0"/>
        <w:autoSpaceDE w:val="0"/>
        <w:autoSpaceDN w:val="0"/>
        <w:adjustRightInd w:val="0"/>
        <w:ind w:right="-11"/>
        <w:jc w:val="both"/>
      </w:pPr>
      <w:r>
        <w:t> </w:t>
      </w:r>
    </w:p>
    <w:p w14:paraId="691B0FF1" w14:textId="77777777" w:rsidR="00DA0E45" w:rsidRDefault="00DA0E45" w:rsidP="00DA0E45">
      <w:pPr>
        <w:overflowPunct w:val="0"/>
        <w:autoSpaceDE w:val="0"/>
        <w:autoSpaceDN w:val="0"/>
        <w:adjustRightInd w:val="0"/>
        <w:spacing w:before="120" w:after="120"/>
        <w:ind w:right="-11"/>
        <w:jc w:val="both"/>
        <w:rPr>
          <w:i/>
        </w:rPr>
      </w:pPr>
      <w:r>
        <w:rPr>
          <w:i/>
        </w:rPr>
        <w:t>Tablica 5. Wymagania nośności podbudowy zasadniczej w zależności od kategorii ruchu</w:t>
      </w:r>
    </w:p>
    <w:tbl>
      <w:tblPr>
        <w:tblW w:w="0" w:type="auto"/>
        <w:tblInd w:w="1069" w:type="dxa"/>
        <w:tblLayout w:type="fixed"/>
        <w:tblCellMar>
          <w:left w:w="70" w:type="dxa"/>
          <w:right w:w="70" w:type="dxa"/>
        </w:tblCellMar>
        <w:tblLook w:val="0000" w:firstRow="0" w:lastRow="0" w:firstColumn="0" w:lastColumn="0" w:noHBand="0" w:noVBand="0"/>
      </w:tblPr>
      <w:tblGrid>
        <w:gridCol w:w="2905"/>
        <w:gridCol w:w="2302"/>
        <w:gridCol w:w="2303"/>
      </w:tblGrid>
      <w:tr w:rsidR="00DA0E45" w14:paraId="7F6EE1DB" w14:textId="77777777" w:rsidTr="00342BA4">
        <w:tblPrEx>
          <w:tblCellMar>
            <w:top w:w="0" w:type="dxa"/>
            <w:bottom w:w="0" w:type="dxa"/>
          </w:tblCellMar>
        </w:tblPrEx>
        <w:tc>
          <w:tcPr>
            <w:tcW w:w="2905" w:type="dxa"/>
            <w:tcBorders>
              <w:top w:val="single" w:sz="6" w:space="0" w:color="auto"/>
              <w:left w:val="single" w:sz="6" w:space="0" w:color="auto"/>
              <w:bottom w:val="nil"/>
              <w:right w:val="nil"/>
            </w:tcBorders>
          </w:tcPr>
          <w:p w14:paraId="4E3F82E4" w14:textId="77777777" w:rsidR="00DA0E45" w:rsidRDefault="00DA0E45" w:rsidP="00342BA4">
            <w:pPr>
              <w:overflowPunct w:val="0"/>
              <w:autoSpaceDE w:val="0"/>
              <w:autoSpaceDN w:val="0"/>
              <w:adjustRightInd w:val="0"/>
              <w:ind w:right="-11"/>
              <w:jc w:val="both"/>
            </w:pPr>
            <w:r>
              <w:t> </w:t>
            </w:r>
          </w:p>
          <w:p w14:paraId="758D45B5" w14:textId="77777777" w:rsidR="00DA0E45" w:rsidRDefault="00DA0E45" w:rsidP="00342BA4">
            <w:pPr>
              <w:overflowPunct w:val="0"/>
              <w:autoSpaceDE w:val="0"/>
              <w:autoSpaceDN w:val="0"/>
              <w:adjustRightInd w:val="0"/>
              <w:ind w:right="-11"/>
              <w:jc w:val="center"/>
            </w:pPr>
            <w:r>
              <w:t>Kategoria ruchu</w:t>
            </w:r>
          </w:p>
        </w:tc>
        <w:tc>
          <w:tcPr>
            <w:tcW w:w="4605" w:type="dxa"/>
            <w:gridSpan w:val="2"/>
            <w:tcBorders>
              <w:top w:val="single" w:sz="6" w:space="0" w:color="auto"/>
              <w:left w:val="single" w:sz="6" w:space="0" w:color="auto"/>
              <w:bottom w:val="single" w:sz="6" w:space="0" w:color="auto"/>
              <w:right w:val="single" w:sz="6" w:space="0" w:color="auto"/>
            </w:tcBorders>
          </w:tcPr>
          <w:p w14:paraId="47B82BA3" w14:textId="77777777" w:rsidR="00DA0E45" w:rsidRDefault="00DA0E45" w:rsidP="00342BA4">
            <w:pPr>
              <w:overflowPunct w:val="0"/>
              <w:autoSpaceDE w:val="0"/>
              <w:autoSpaceDN w:val="0"/>
              <w:adjustRightInd w:val="0"/>
              <w:ind w:right="-11"/>
              <w:jc w:val="center"/>
            </w:pPr>
            <w:r>
              <w:t xml:space="preserve">Minimalny moduł odkształcenia mierzony przy użyciu płyty o średnicy </w:t>
            </w:r>
            <w:smartTag w:uri="urn:schemas-microsoft-com:office:smarttags" w:element="metricconverter">
              <w:smartTagPr>
                <w:attr w:name="ProductID" w:val="30 cm"/>
              </w:smartTagPr>
              <w:r>
                <w:t>30 cm</w:t>
              </w:r>
            </w:smartTag>
            <w:r>
              <w:t xml:space="preserve">   (</w:t>
            </w:r>
            <w:proofErr w:type="spellStart"/>
            <w:r>
              <w:t>MPa</w:t>
            </w:r>
            <w:proofErr w:type="spellEnd"/>
            <w:r>
              <w:t>)</w:t>
            </w:r>
          </w:p>
        </w:tc>
      </w:tr>
      <w:tr w:rsidR="00DA0E45" w14:paraId="4A8B793F" w14:textId="77777777" w:rsidTr="00342BA4">
        <w:tblPrEx>
          <w:tblCellMar>
            <w:top w:w="0" w:type="dxa"/>
            <w:bottom w:w="0" w:type="dxa"/>
          </w:tblCellMar>
        </w:tblPrEx>
        <w:tc>
          <w:tcPr>
            <w:tcW w:w="2905" w:type="dxa"/>
            <w:tcBorders>
              <w:top w:val="nil"/>
              <w:left w:val="single" w:sz="6" w:space="0" w:color="auto"/>
              <w:bottom w:val="double" w:sz="6" w:space="0" w:color="auto"/>
              <w:right w:val="nil"/>
            </w:tcBorders>
          </w:tcPr>
          <w:p w14:paraId="5BDB8000" w14:textId="77777777" w:rsidR="00DA0E45" w:rsidRDefault="00DA0E45" w:rsidP="00342BA4">
            <w:pPr>
              <w:overflowPunct w:val="0"/>
              <w:autoSpaceDE w:val="0"/>
              <w:autoSpaceDN w:val="0"/>
              <w:adjustRightInd w:val="0"/>
              <w:ind w:right="-11"/>
              <w:jc w:val="both"/>
            </w:pPr>
            <w:r>
              <w:t> </w:t>
            </w:r>
          </w:p>
        </w:tc>
        <w:tc>
          <w:tcPr>
            <w:tcW w:w="2302" w:type="dxa"/>
            <w:tcBorders>
              <w:top w:val="single" w:sz="6" w:space="0" w:color="auto"/>
              <w:left w:val="single" w:sz="6" w:space="0" w:color="auto"/>
              <w:bottom w:val="double" w:sz="6" w:space="0" w:color="auto"/>
              <w:right w:val="single" w:sz="6" w:space="0" w:color="auto"/>
            </w:tcBorders>
          </w:tcPr>
          <w:p w14:paraId="0ECA5A24" w14:textId="46EE51D6" w:rsidR="00DA0E45" w:rsidRDefault="00DA0E45" w:rsidP="00342BA4">
            <w:pPr>
              <w:overflowPunct w:val="0"/>
              <w:autoSpaceDE w:val="0"/>
              <w:autoSpaceDN w:val="0"/>
              <w:adjustRightInd w:val="0"/>
              <w:ind w:right="-11"/>
              <w:jc w:val="center"/>
            </w:pPr>
            <w:r>
              <w:t xml:space="preserve">Pierwotny </w:t>
            </w:r>
            <w:r>
              <w:rPr>
                <w:i/>
              </w:rPr>
              <w:t>M</w:t>
            </w:r>
            <w:r>
              <w:rPr>
                <w:noProof/>
                <w:vertAlign w:val="subscript"/>
              </w:rPr>
              <w:drawing>
                <wp:inline distT="0" distB="0" distL="0" distR="0" wp14:anchorId="47CB3D01" wp14:editId="1A1C3372">
                  <wp:extent cx="114300" cy="228600"/>
                  <wp:effectExtent l="0" t="0" r="0" b="0"/>
                  <wp:docPr id="61915981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p>
        </w:tc>
        <w:tc>
          <w:tcPr>
            <w:tcW w:w="2303" w:type="dxa"/>
            <w:tcBorders>
              <w:top w:val="single" w:sz="6" w:space="0" w:color="auto"/>
              <w:left w:val="single" w:sz="6" w:space="0" w:color="auto"/>
              <w:bottom w:val="double" w:sz="6" w:space="0" w:color="auto"/>
              <w:right w:val="single" w:sz="6" w:space="0" w:color="auto"/>
            </w:tcBorders>
          </w:tcPr>
          <w:p w14:paraId="03F0DE44" w14:textId="7C4742AA" w:rsidR="00DA0E45" w:rsidRDefault="00DA0E45" w:rsidP="00342BA4">
            <w:pPr>
              <w:overflowPunct w:val="0"/>
              <w:autoSpaceDE w:val="0"/>
              <w:autoSpaceDN w:val="0"/>
              <w:adjustRightInd w:val="0"/>
              <w:ind w:right="-11"/>
              <w:jc w:val="center"/>
            </w:pPr>
            <w:r>
              <w:t xml:space="preserve">Wtórny </w:t>
            </w:r>
            <w:r>
              <w:rPr>
                <w:i/>
              </w:rPr>
              <w:t>M</w:t>
            </w:r>
            <w:r>
              <w:rPr>
                <w:noProof/>
                <w:vertAlign w:val="subscript"/>
              </w:rPr>
              <w:drawing>
                <wp:inline distT="0" distB="0" distL="0" distR="0" wp14:anchorId="5AF0369E" wp14:editId="35EA6591">
                  <wp:extent cx="123825" cy="228600"/>
                  <wp:effectExtent l="0" t="0" r="9525" b="0"/>
                  <wp:docPr id="135174942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p>
        </w:tc>
      </w:tr>
      <w:tr w:rsidR="00DA0E45" w14:paraId="26795652" w14:textId="77777777" w:rsidTr="00342BA4">
        <w:tblPrEx>
          <w:tblCellMar>
            <w:top w:w="0" w:type="dxa"/>
            <w:bottom w:w="0" w:type="dxa"/>
          </w:tblCellMar>
        </w:tblPrEx>
        <w:tc>
          <w:tcPr>
            <w:tcW w:w="2905" w:type="dxa"/>
            <w:tcBorders>
              <w:top w:val="nil"/>
              <w:left w:val="single" w:sz="6" w:space="0" w:color="auto"/>
              <w:bottom w:val="single" w:sz="6" w:space="0" w:color="auto"/>
              <w:right w:val="nil"/>
            </w:tcBorders>
          </w:tcPr>
          <w:p w14:paraId="63B7359C" w14:textId="77777777" w:rsidR="00DA0E45" w:rsidRDefault="00DA0E45" w:rsidP="00342BA4">
            <w:pPr>
              <w:overflowPunct w:val="0"/>
              <w:autoSpaceDE w:val="0"/>
              <w:autoSpaceDN w:val="0"/>
              <w:adjustRightInd w:val="0"/>
              <w:spacing w:before="60"/>
              <w:ind w:right="-11"/>
              <w:jc w:val="both"/>
            </w:pPr>
            <w:r>
              <w:t>Ruch lekki</w:t>
            </w:r>
          </w:p>
          <w:p w14:paraId="069085B4" w14:textId="77777777" w:rsidR="00DA0E45" w:rsidRDefault="00DA0E45" w:rsidP="00342BA4">
            <w:pPr>
              <w:overflowPunct w:val="0"/>
              <w:autoSpaceDE w:val="0"/>
              <w:autoSpaceDN w:val="0"/>
              <w:adjustRightInd w:val="0"/>
              <w:spacing w:after="60"/>
              <w:ind w:right="-11"/>
              <w:jc w:val="both"/>
            </w:pPr>
            <w:r>
              <w:t>Ruch lekko średni i średni</w:t>
            </w:r>
          </w:p>
        </w:tc>
        <w:tc>
          <w:tcPr>
            <w:tcW w:w="2302" w:type="dxa"/>
            <w:tcBorders>
              <w:top w:val="nil"/>
              <w:left w:val="single" w:sz="6" w:space="0" w:color="auto"/>
              <w:bottom w:val="single" w:sz="6" w:space="0" w:color="auto"/>
              <w:right w:val="single" w:sz="6" w:space="0" w:color="auto"/>
            </w:tcBorders>
          </w:tcPr>
          <w:p w14:paraId="716610AC" w14:textId="77777777" w:rsidR="00DA0E45" w:rsidRDefault="00DA0E45" w:rsidP="00342BA4">
            <w:pPr>
              <w:overflowPunct w:val="0"/>
              <w:autoSpaceDE w:val="0"/>
              <w:autoSpaceDN w:val="0"/>
              <w:adjustRightInd w:val="0"/>
              <w:spacing w:before="60"/>
              <w:ind w:right="-11"/>
              <w:jc w:val="center"/>
            </w:pPr>
            <w:r>
              <w:t>100</w:t>
            </w:r>
          </w:p>
          <w:p w14:paraId="739A7EDB" w14:textId="77777777" w:rsidR="00DA0E45" w:rsidRDefault="00DA0E45" w:rsidP="00342BA4">
            <w:pPr>
              <w:overflowPunct w:val="0"/>
              <w:autoSpaceDE w:val="0"/>
              <w:autoSpaceDN w:val="0"/>
              <w:adjustRightInd w:val="0"/>
              <w:spacing w:after="60"/>
              <w:ind w:right="-11"/>
              <w:jc w:val="center"/>
            </w:pPr>
            <w:r>
              <w:t>100</w:t>
            </w:r>
          </w:p>
        </w:tc>
        <w:tc>
          <w:tcPr>
            <w:tcW w:w="2303" w:type="dxa"/>
            <w:tcBorders>
              <w:top w:val="nil"/>
              <w:left w:val="single" w:sz="6" w:space="0" w:color="auto"/>
              <w:bottom w:val="single" w:sz="6" w:space="0" w:color="auto"/>
              <w:right w:val="single" w:sz="6" w:space="0" w:color="auto"/>
            </w:tcBorders>
          </w:tcPr>
          <w:p w14:paraId="090198D0" w14:textId="77777777" w:rsidR="00DA0E45" w:rsidRDefault="00DA0E45" w:rsidP="00342BA4">
            <w:pPr>
              <w:overflowPunct w:val="0"/>
              <w:autoSpaceDE w:val="0"/>
              <w:autoSpaceDN w:val="0"/>
              <w:adjustRightInd w:val="0"/>
              <w:spacing w:before="60"/>
              <w:ind w:right="-11"/>
              <w:jc w:val="center"/>
            </w:pPr>
            <w:r>
              <w:t>140</w:t>
            </w:r>
          </w:p>
          <w:p w14:paraId="1D5023C7" w14:textId="77777777" w:rsidR="00DA0E45" w:rsidRDefault="00DA0E45" w:rsidP="00342BA4">
            <w:pPr>
              <w:overflowPunct w:val="0"/>
              <w:autoSpaceDE w:val="0"/>
              <w:autoSpaceDN w:val="0"/>
              <w:adjustRightInd w:val="0"/>
              <w:spacing w:after="60"/>
              <w:ind w:right="-11"/>
              <w:jc w:val="center"/>
            </w:pPr>
            <w:r>
              <w:t>170</w:t>
            </w:r>
          </w:p>
        </w:tc>
      </w:tr>
    </w:tbl>
    <w:p w14:paraId="17F15724" w14:textId="77777777" w:rsidR="00DA0E45" w:rsidRDefault="00DA0E45" w:rsidP="00DA0E45">
      <w:pPr>
        <w:overflowPunct w:val="0"/>
        <w:autoSpaceDE w:val="0"/>
        <w:autoSpaceDN w:val="0"/>
        <w:adjustRightInd w:val="0"/>
        <w:ind w:right="-11"/>
        <w:jc w:val="both"/>
      </w:pPr>
      <w:r>
        <w:t> </w:t>
      </w:r>
    </w:p>
    <w:p w14:paraId="20A8C145" w14:textId="0F5B124E" w:rsidR="00DA0E45" w:rsidRDefault="00DA0E45" w:rsidP="00DA0E45">
      <w:pPr>
        <w:overflowPunct w:val="0"/>
        <w:autoSpaceDE w:val="0"/>
        <w:autoSpaceDN w:val="0"/>
        <w:adjustRightInd w:val="0"/>
        <w:ind w:right="-11"/>
        <w:jc w:val="both"/>
      </w:pPr>
      <w:r>
        <w:t> </w:t>
      </w:r>
      <w:r>
        <w:tab/>
        <w:t xml:space="preserve">Pierwotny moduł odkształcenia podbudowy pomocniczej mierzony płytą o średnicy </w:t>
      </w:r>
      <w:smartTag w:uri="urn:schemas-microsoft-com:office:smarttags" w:element="metricconverter">
        <w:smartTagPr>
          <w:attr w:name="ProductID" w:val="30 cm"/>
        </w:smartTagPr>
        <w:r>
          <w:t>30 cm</w:t>
        </w:r>
      </w:smartTag>
      <w:r>
        <w:t xml:space="preserve">, powinien być większy od 50 </w:t>
      </w:r>
      <w:proofErr w:type="spellStart"/>
      <w:r>
        <w:t>MPa.Zagęszczenie</w:t>
      </w:r>
      <w:proofErr w:type="spellEnd"/>
      <w:r>
        <w:t xml:space="preserve"> podbudowy należy uznać za prawidłowe, gdy stosunek wtórnego modułu odkształcenia </w:t>
      </w:r>
      <w:r>
        <w:rPr>
          <w:i/>
        </w:rPr>
        <w:t>M</w:t>
      </w:r>
      <w:r>
        <w:rPr>
          <w:noProof/>
          <w:sz w:val="16"/>
          <w:vertAlign w:val="subscript"/>
        </w:rPr>
        <w:drawing>
          <wp:inline distT="0" distB="0" distL="0" distR="0" wp14:anchorId="4C6C216A" wp14:editId="2FFCC695">
            <wp:extent cx="123825" cy="228600"/>
            <wp:effectExtent l="0" t="0" r="9525" b="0"/>
            <wp:docPr id="180617120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t xml:space="preserve">do pierwotnego modułu odkształcenia </w:t>
      </w:r>
      <w:r>
        <w:rPr>
          <w:i/>
        </w:rPr>
        <w:t>M</w:t>
      </w:r>
      <w:r>
        <w:rPr>
          <w:noProof/>
          <w:sz w:val="16"/>
          <w:vertAlign w:val="subscript"/>
        </w:rPr>
        <w:drawing>
          <wp:inline distT="0" distB="0" distL="0" distR="0" wp14:anchorId="6B4ACD6D" wp14:editId="2FA47380">
            <wp:extent cx="114300" cy="228600"/>
            <wp:effectExtent l="0" t="0" r="0" b="0"/>
            <wp:docPr id="28531555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t>jest nie większy od 2,2.</w:t>
      </w:r>
    </w:p>
    <w:p w14:paraId="050B2898" w14:textId="414BBF90" w:rsidR="00DA0E45" w:rsidRPr="00790047" w:rsidRDefault="00DA0E45" w:rsidP="00DA0E45">
      <w:pPr>
        <w:overflowPunct w:val="0"/>
        <w:autoSpaceDE w:val="0"/>
        <w:autoSpaceDN w:val="0"/>
        <w:adjustRightInd w:val="0"/>
        <w:ind w:right="-11"/>
        <w:jc w:val="center"/>
      </w:pPr>
      <w:r>
        <w:rPr>
          <w:noProof/>
          <w:sz w:val="16"/>
          <w:vertAlign w:val="subscript"/>
        </w:rPr>
        <w:drawing>
          <wp:inline distT="0" distB="0" distL="0" distR="0" wp14:anchorId="2FB7BA59" wp14:editId="2028337B">
            <wp:extent cx="304800" cy="457200"/>
            <wp:effectExtent l="0" t="0" r="0" b="0"/>
            <wp:docPr id="157670407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Pr>
          <w:sz w:val="16"/>
        </w:rPr>
        <w:tab/>
      </w:r>
      <w:r>
        <w:sym w:font="Symbol" w:char="00A3"/>
      </w:r>
      <w:r>
        <w:t xml:space="preserve">    2,2</w:t>
      </w:r>
      <w:r>
        <w:rPr>
          <w:sz w:val="16"/>
        </w:rPr>
        <w:t> </w:t>
      </w:r>
    </w:p>
    <w:p w14:paraId="18210F5C" w14:textId="77777777" w:rsidR="00DA0E45" w:rsidRDefault="00DA0E45" w:rsidP="00DA0E45">
      <w:pPr>
        <w:keepNext/>
        <w:overflowPunct w:val="0"/>
        <w:autoSpaceDE w:val="0"/>
        <w:autoSpaceDN w:val="0"/>
        <w:adjustRightInd w:val="0"/>
        <w:spacing w:before="120" w:after="120"/>
        <w:jc w:val="both"/>
        <w:outlineLvl w:val="1"/>
        <w:rPr>
          <w:b/>
        </w:rPr>
      </w:pPr>
      <w:r>
        <w:rPr>
          <w:b/>
        </w:rPr>
        <w:t>6.5. Zasady postępowania z wadliwie wykonanymi odcinkami podbudowy</w:t>
      </w:r>
    </w:p>
    <w:p w14:paraId="4757027B" w14:textId="77777777" w:rsidR="00DA0E45" w:rsidRDefault="00DA0E45" w:rsidP="00DA0E45">
      <w:pPr>
        <w:keepNext/>
        <w:overflowPunct w:val="0"/>
        <w:autoSpaceDE w:val="0"/>
        <w:autoSpaceDN w:val="0"/>
        <w:adjustRightInd w:val="0"/>
        <w:spacing w:before="120" w:after="120"/>
        <w:jc w:val="both"/>
        <w:outlineLvl w:val="1"/>
      </w:pPr>
      <w:r>
        <w:rPr>
          <w:b/>
        </w:rPr>
        <w:t xml:space="preserve">6.5.1. </w:t>
      </w:r>
      <w:r>
        <w:t>Niewłaściwe cechy geometryczne podbudowy</w:t>
      </w:r>
    </w:p>
    <w:p w14:paraId="7006FC27" w14:textId="77777777" w:rsidR="00DA0E45" w:rsidRDefault="00DA0E45" w:rsidP="00DA0E45">
      <w:pPr>
        <w:overflowPunct w:val="0"/>
        <w:autoSpaceDE w:val="0"/>
        <w:autoSpaceDN w:val="0"/>
        <w:adjustRightInd w:val="0"/>
        <w:jc w:val="both"/>
      </w:pPr>
      <w:r>
        <w:tab/>
        <w:t>Wszystkie powierzchnie podbudowy, które wykazują większe odchylenia cech geometrycznych od określonych w punkcie 6.4, powinny być naprawione. Wszelkie naprawy i dodatkowe badania i pomiary zostaną wykonane na koszt Wykonawcy.</w:t>
      </w:r>
    </w:p>
    <w:p w14:paraId="57044B58" w14:textId="77777777" w:rsidR="00DA0E45" w:rsidRDefault="00DA0E45" w:rsidP="00DA0E45">
      <w:pPr>
        <w:overflowPunct w:val="0"/>
        <w:autoSpaceDE w:val="0"/>
        <w:autoSpaceDN w:val="0"/>
        <w:adjustRightInd w:val="0"/>
        <w:jc w:val="both"/>
      </w:pPr>
      <w:r>
        <w:tab/>
        <w:t xml:space="preserve">Jeżeli szerokość podbudowy jest mniejsza od szerokości projektowanej o więcej niż </w:t>
      </w:r>
      <w:smartTag w:uri="urn:schemas-microsoft-com:office:smarttags" w:element="metricconverter">
        <w:smartTagPr>
          <w:attr w:name="ProductID" w:val="5 cm"/>
        </w:smartTagPr>
        <w:r>
          <w:t>5 cm</w:t>
        </w:r>
      </w:smartTag>
      <w:r>
        <w:t xml:space="preserve"> i nie zapewni to podparcia warstwom wyżej leżącym, to Wykonawca powinien na własny koszt poszerzyć podbudowę przez spulchnienie warstwy na pełną grubość, do połowy szerokości pasa ruchu (lub pasa postojowego czy utwardzonego pobocza), dołożenie materiału i powtórne zagęszczenie.</w:t>
      </w:r>
    </w:p>
    <w:p w14:paraId="5ACB4D74" w14:textId="77777777" w:rsidR="00DA0E45" w:rsidRDefault="00DA0E45" w:rsidP="00DA0E45">
      <w:pPr>
        <w:overflowPunct w:val="0"/>
        <w:autoSpaceDE w:val="0"/>
        <w:autoSpaceDN w:val="0"/>
        <w:adjustRightInd w:val="0"/>
        <w:spacing w:before="120"/>
        <w:jc w:val="both"/>
      </w:pPr>
      <w:r>
        <w:rPr>
          <w:b/>
        </w:rPr>
        <w:t xml:space="preserve">6.5.2. </w:t>
      </w:r>
      <w:r>
        <w:t>Niewłaściwa grubość</w:t>
      </w:r>
    </w:p>
    <w:p w14:paraId="446736DA" w14:textId="77777777" w:rsidR="00DA0E45" w:rsidRDefault="00DA0E45" w:rsidP="00DA0E45">
      <w:pPr>
        <w:overflowPunct w:val="0"/>
        <w:autoSpaceDE w:val="0"/>
        <w:autoSpaceDN w:val="0"/>
        <w:adjustRightInd w:val="0"/>
        <w:spacing w:before="120"/>
        <w:jc w:val="both"/>
      </w:pPr>
      <w:r>
        <w:tab/>
        <w:t xml:space="preserve">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t>
      </w:r>
      <w:r>
        <w:lastRenderedPageBreak/>
        <w:t>wyrównane i ponownie zagęszczone. Roboty te Wykonawca wykona na własny koszt. Po wykonaniu tych robót nastąpi ponowny pomiar i ocena grubości warstwy. Koszty poniesie Wykonawca.</w:t>
      </w:r>
    </w:p>
    <w:p w14:paraId="46B02F9F" w14:textId="77777777" w:rsidR="00DA0E45" w:rsidRDefault="00DA0E45" w:rsidP="00DA0E45">
      <w:pPr>
        <w:overflowPunct w:val="0"/>
        <w:autoSpaceDE w:val="0"/>
        <w:autoSpaceDN w:val="0"/>
        <w:adjustRightInd w:val="0"/>
        <w:spacing w:before="120"/>
        <w:jc w:val="both"/>
      </w:pPr>
      <w:r>
        <w:rPr>
          <w:b/>
        </w:rPr>
        <w:t xml:space="preserve">6.5.3. </w:t>
      </w:r>
      <w:r>
        <w:t>Niewłaściwa nośność podbudowy</w:t>
      </w:r>
    </w:p>
    <w:p w14:paraId="701FCC36" w14:textId="77777777" w:rsidR="00DA0E45" w:rsidRDefault="00DA0E45" w:rsidP="00DA0E45">
      <w:pPr>
        <w:overflowPunct w:val="0"/>
        <w:autoSpaceDE w:val="0"/>
        <w:autoSpaceDN w:val="0"/>
        <w:adjustRightInd w:val="0"/>
        <w:spacing w:before="120"/>
        <w:jc w:val="both"/>
      </w:pPr>
      <w:r>
        <w:t>Jeżeli nośność podbudowy będzie mniejsza od wymaganej, to Wykonawca wykona wszelkie roboty niezbędne do zapewnienia wymaganej nośności, zalecone przez Inżyniera.</w:t>
      </w:r>
    </w:p>
    <w:p w14:paraId="0EEA3193" w14:textId="77777777" w:rsidR="00DA0E45" w:rsidRDefault="00DA0E45" w:rsidP="00DA0E45">
      <w:pPr>
        <w:overflowPunct w:val="0"/>
        <w:autoSpaceDE w:val="0"/>
        <w:autoSpaceDN w:val="0"/>
        <w:adjustRightInd w:val="0"/>
        <w:jc w:val="both"/>
      </w:pPr>
      <w:r>
        <w:t>Koszty tych dodatkowych robót poniesie Wykonawca podbudowy tylko wtedy, gdy zaniżenie nośności podbudowy wynikło z niewłaściwego wykonania robót przez Wykonawcę podbudowy.</w:t>
      </w:r>
      <w:r>
        <w:tab/>
      </w:r>
    </w:p>
    <w:p w14:paraId="497C94EA"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11" w:name="_Toc423398336"/>
      <w:bookmarkStart w:id="12" w:name="_Toc505404899"/>
      <w:r>
        <w:rPr>
          <w:b/>
          <w:caps/>
          <w:kern w:val="28"/>
        </w:rPr>
        <w:t>7. OBMIAR ROBÓT</w:t>
      </w:r>
      <w:bookmarkEnd w:id="11"/>
      <w:bookmarkEnd w:id="12"/>
    </w:p>
    <w:p w14:paraId="4B69BDE8" w14:textId="77777777" w:rsidR="00DA0E45" w:rsidRDefault="00DA0E45" w:rsidP="00DA0E45">
      <w:pPr>
        <w:keepNext/>
        <w:overflowPunct w:val="0"/>
        <w:autoSpaceDE w:val="0"/>
        <w:autoSpaceDN w:val="0"/>
        <w:adjustRightInd w:val="0"/>
        <w:spacing w:before="120" w:after="120"/>
        <w:jc w:val="both"/>
        <w:outlineLvl w:val="1"/>
        <w:rPr>
          <w:b/>
        </w:rPr>
      </w:pPr>
      <w:r>
        <w:rPr>
          <w:b/>
        </w:rPr>
        <w:t>7.1. Ogólne zasady obmiaru robót</w:t>
      </w:r>
    </w:p>
    <w:p w14:paraId="32A75283" w14:textId="77777777" w:rsidR="00DA0E45" w:rsidRDefault="00DA0E45" w:rsidP="00DA0E45">
      <w:pPr>
        <w:overflowPunct w:val="0"/>
        <w:autoSpaceDE w:val="0"/>
        <w:autoSpaceDN w:val="0"/>
        <w:adjustRightInd w:val="0"/>
        <w:ind w:right="-11"/>
        <w:jc w:val="both"/>
      </w:pPr>
      <w:r>
        <w:t>Ogólne zasady obmiaru robót podano w SST D-M-00.00.00 „Wymagania ogólne” pkt 7.</w:t>
      </w:r>
    </w:p>
    <w:p w14:paraId="58152E46" w14:textId="77777777" w:rsidR="00DA0E45" w:rsidRDefault="00DA0E45" w:rsidP="00DA0E45">
      <w:pPr>
        <w:keepNext/>
        <w:overflowPunct w:val="0"/>
        <w:autoSpaceDE w:val="0"/>
        <w:autoSpaceDN w:val="0"/>
        <w:adjustRightInd w:val="0"/>
        <w:spacing w:before="120" w:after="120"/>
        <w:jc w:val="both"/>
        <w:outlineLvl w:val="1"/>
        <w:rPr>
          <w:b/>
        </w:rPr>
      </w:pPr>
      <w:r>
        <w:rPr>
          <w:b/>
        </w:rPr>
        <w:t>7.2. Jednostka obmiarowa</w:t>
      </w:r>
    </w:p>
    <w:p w14:paraId="3F9D2698" w14:textId="77777777" w:rsidR="00DA0E45" w:rsidRDefault="00DA0E45" w:rsidP="00DA0E45">
      <w:pPr>
        <w:overflowPunct w:val="0"/>
        <w:autoSpaceDE w:val="0"/>
        <w:autoSpaceDN w:val="0"/>
        <w:adjustRightInd w:val="0"/>
        <w:ind w:right="-11"/>
        <w:jc w:val="both"/>
      </w:pPr>
      <w:r>
        <w:t>Jednostką obmiarową jest  m</w:t>
      </w:r>
      <w:r>
        <w:rPr>
          <w:vertAlign w:val="superscript"/>
        </w:rPr>
        <w:t>2</w:t>
      </w:r>
      <w:r>
        <w:t xml:space="preserve"> (metr kwadratowy) wykonanej podbudowy z tłucznia kamiennego.</w:t>
      </w:r>
    </w:p>
    <w:p w14:paraId="0ADE7608"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13" w:name="_Toc423398337"/>
      <w:bookmarkStart w:id="14" w:name="_Toc505404900"/>
      <w:r>
        <w:rPr>
          <w:b/>
          <w:caps/>
          <w:kern w:val="28"/>
        </w:rPr>
        <w:t>8. ODBIÓR ROBÓT</w:t>
      </w:r>
      <w:bookmarkEnd w:id="13"/>
      <w:bookmarkEnd w:id="14"/>
    </w:p>
    <w:p w14:paraId="1362B819" w14:textId="77777777" w:rsidR="00DA0E45" w:rsidRDefault="00DA0E45" w:rsidP="00DA0E45">
      <w:pPr>
        <w:overflowPunct w:val="0"/>
        <w:autoSpaceDE w:val="0"/>
        <w:autoSpaceDN w:val="0"/>
        <w:adjustRightInd w:val="0"/>
        <w:ind w:right="-11"/>
        <w:jc w:val="both"/>
      </w:pPr>
      <w:r>
        <w:t>Ogólne zasady odbioru robót podano w SST D-M-00.00.00 „Wymagania ogólne” pkt 8.</w:t>
      </w:r>
    </w:p>
    <w:p w14:paraId="4D3D4A7B" w14:textId="77777777" w:rsidR="00DA0E45" w:rsidRDefault="00DA0E45" w:rsidP="00DA0E45">
      <w:pPr>
        <w:overflowPunct w:val="0"/>
        <w:autoSpaceDE w:val="0"/>
        <w:autoSpaceDN w:val="0"/>
        <w:adjustRightInd w:val="0"/>
        <w:ind w:right="-11"/>
        <w:jc w:val="both"/>
      </w:pPr>
      <w:r>
        <w:t>Roboty uznaje się za zgodne z dokumentacją projektową, SST i wymaganiami Inżyniera, jeżeli wszystkie pomiary i badania z zachowaniem tolerancji wg pkt 6 dały wyniki pozytywne.</w:t>
      </w:r>
    </w:p>
    <w:p w14:paraId="435F41C0"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15" w:name="_Toc423398338"/>
      <w:bookmarkStart w:id="16" w:name="_Toc505404901"/>
      <w:r>
        <w:rPr>
          <w:b/>
          <w:caps/>
          <w:kern w:val="28"/>
        </w:rPr>
        <w:t>9. PODSTAWA PŁATNOŚCI</w:t>
      </w:r>
      <w:bookmarkEnd w:id="15"/>
      <w:bookmarkEnd w:id="16"/>
    </w:p>
    <w:p w14:paraId="386A4043" w14:textId="77777777" w:rsidR="00DA0E45" w:rsidRDefault="00DA0E45" w:rsidP="00DA0E45">
      <w:pPr>
        <w:keepNext/>
        <w:overflowPunct w:val="0"/>
        <w:autoSpaceDE w:val="0"/>
        <w:autoSpaceDN w:val="0"/>
        <w:adjustRightInd w:val="0"/>
        <w:spacing w:before="120" w:after="120"/>
        <w:jc w:val="both"/>
        <w:outlineLvl w:val="1"/>
        <w:rPr>
          <w:b/>
        </w:rPr>
      </w:pPr>
      <w:r>
        <w:rPr>
          <w:b/>
        </w:rPr>
        <w:t>9.1. Ogólne ustalenia dotyczące podstawy płatności</w:t>
      </w:r>
    </w:p>
    <w:p w14:paraId="5F301830" w14:textId="77777777" w:rsidR="00DA0E45" w:rsidRDefault="00DA0E45" w:rsidP="00DA0E45">
      <w:pPr>
        <w:overflowPunct w:val="0"/>
        <w:autoSpaceDE w:val="0"/>
        <w:autoSpaceDN w:val="0"/>
        <w:adjustRightInd w:val="0"/>
        <w:ind w:right="-11"/>
        <w:jc w:val="both"/>
      </w:pPr>
      <w:r>
        <w:rPr>
          <w:b/>
        </w:rPr>
        <w:tab/>
      </w:r>
      <w:r>
        <w:t>Ogólne ustalenia dotyczące podstawy płatności podano w SST D-M-00.00.00 „Wymagania ogólne” pkt 9.</w:t>
      </w:r>
    </w:p>
    <w:p w14:paraId="531CDF13" w14:textId="77777777" w:rsidR="00DA0E45" w:rsidRDefault="00DA0E45" w:rsidP="00DA0E45">
      <w:pPr>
        <w:keepNext/>
        <w:overflowPunct w:val="0"/>
        <w:autoSpaceDE w:val="0"/>
        <w:autoSpaceDN w:val="0"/>
        <w:adjustRightInd w:val="0"/>
        <w:spacing w:before="120" w:after="120"/>
        <w:jc w:val="both"/>
        <w:outlineLvl w:val="1"/>
        <w:rPr>
          <w:b/>
        </w:rPr>
      </w:pPr>
      <w:r>
        <w:rPr>
          <w:b/>
        </w:rPr>
        <w:t>9.2. Cena jednostki obmiarowej</w:t>
      </w:r>
    </w:p>
    <w:p w14:paraId="15A6BC7D" w14:textId="77777777" w:rsidR="00DA0E45" w:rsidRDefault="00DA0E45" w:rsidP="00DA0E45">
      <w:pPr>
        <w:overflowPunct w:val="0"/>
        <w:autoSpaceDE w:val="0"/>
        <w:autoSpaceDN w:val="0"/>
        <w:adjustRightInd w:val="0"/>
        <w:jc w:val="both"/>
      </w:pPr>
      <w:r>
        <w:tab/>
        <w:t xml:space="preserve">Cena wykonania </w:t>
      </w:r>
      <w:smartTag w:uri="urn:schemas-microsoft-com:office:smarttags" w:element="metricconverter">
        <w:smartTagPr>
          <w:attr w:name="ProductID" w:val="1 m2"/>
        </w:smartTagPr>
        <w:r>
          <w:t>1 m</w:t>
        </w:r>
        <w:r>
          <w:rPr>
            <w:vertAlign w:val="superscript"/>
          </w:rPr>
          <w:t>2</w:t>
        </w:r>
      </w:smartTag>
      <w:r>
        <w:t xml:space="preserve"> podbudowy tłuczniowej obejmuje:</w:t>
      </w:r>
    </w:p>
    <w:p w14:paraId="3899C00F"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prace pomiarowe i roboty przygotowawcze,</w:t>
      </w:r>
    </w:p>
    <w:p w14:paraId="7D69BF36"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oznakowanie robót,</w:t>
      </w:r>
    </w:p>
    <w:p w14:paraId="5CD96A8F"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przygotowanie podłoża,</w:t>
      </w:r>
    </w:p>
    <w:p w14:paraId="1BD9D82D"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dostarczenie materiałów na miejsce wbudowania,</w:t>
      </w:r>
    </w:p>
    <w:p w14:paraId="0F47033A"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rozłożenie kruszywa,</w:t>
      </w:r>
    </w:p>
    <w:p w14:paraId="3253897C"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zagęszczenie warstw z zaklinowaniem,</w:t>
      </w:r>
    </w:p>
    <w:p w14:paraId="49CE237A"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przeprowadzenie pomiarów i badań laboratoryjnych określonych w specyfikacji technicznej,</w:t>
      </w:r>
    </w:p>
    <w:p w14:paraId="0433D977" w14:textId="77777777" w:rsidR="00DA0E45" w:rsidRDefault="00DA0E45" w:rsidP="00DA0E45">
      <w:pPr>
        <w:overflowPunct w:val="0"/>
        <w:autoSpaceDE w:val="0"/>
        <w:autoSpaceDN w:val="0"/>
        <w:adjustRightInd w:val="0"/>
        <w:jc w:val="both"/>
      </w:pPr>
      <w:r>
        <w:rPr>
          <w:rFonts w:ascii="Symbol" w:hAnsi="Symbol"/>
        </w:rPr>
        <w:t></w:t>
      </w:r>
      <w:r>
        <w:rPr>
          <w:sz w:val="14"/>
        </w:rPr>
        <w:t xml:space="preserve">      </w:t>
      </w:r>
      <w:r>
        <w:t>utrzymanie podbudowy w czasie robót.</w:t>
      </w:r>
    </w:p>
    <w:p w14:paraId="542A4B0C" w14:textId="77777777" w:rsidR="00DA0E45" w:rsidRDefault="00DA0E45" w:rsidP="00DA0E45">
      <w:pPr>
        <w:keepNext/>
        <w:keepLines/>
        <w:suppressAutoHyphens/>
        <w:overflowPunct w:val="0"/>
        <w:autoSpaceDE w:val="0"/>
        <w:autoSpaceDN w:val="0"/>
        <w:adjustRightInd w:val="0"/>
        <w:spacing w:before="240" w:after="120"/>
        <w:jc w:val="both"/>
        <w:outlineLvl w:val="0"/>
        <w:rPr>
          <w:b/>
          <w:caps/>
          <w:kern w:val="28"/>
        </w:rPr>
      </w:pPr>
      <w:bookmarkStart w:id="17" w:name="_Toc423398339"/>
      <w:bookmarkStart w:id="18" w:name="_Toc505404902"/>
      <w:r>
        <w:rPr>
          <w:b/>
          <w:caps/>
          <w:kern w:val="28"/>
        </w:rPr>
        <w:t>10. przepisy związane</w:t>
      </w:r>
      <w:bookmarkEnd w:id="17"/>
      <w:bookmarkEnd w:id="18"/>
    </w:p>
    <w:p w14:paraId="758DFAA0" w14:textId="77777777" w:rsidR="00DA0E45" w:rsidRDefault="00DA0E45" w:rsidP="00DA0E45">
      <w:pPr>
        <w:keepNext/>
        <w:overflowPunct w:val="0"/>
        <w:autoSpaceDE w:val="0"/>
        <w:autoSpaceDN w:val="0"/>
        <w:adjustRightInd w:val="0"/>
        <w:spacing w:before="120" w:after="120"/>
        <w:jc w:val="both"/>
        <w:outlineLvl w:val="1"/>
        <w:rPr>
          <w:b/>
        </w:rPr>
      </w:pPr>
      <w:r>
        <w:rPr>
          <w:b/>
        </w:rPr>
        <w:t>10.1. Normy</w:t>
      </w:r>
    </w:p>
    <w:tbl>
      <w:tblPr>
        <w:tblW w:w="0" w:type="auto"/>
        <w:tblLayout w:type="fixed"/>
        <w:tblCellMar>
          <w:left w:w="70" w:type="dxa"/>
          <w:right w:w="70" w:type="dxa"/>
        </w:tblCellMar>
        <w:tblLook w:val="0000" w:firstRow="0" w:lastRow="0" w:firstColumn="0" w:lastColumn="0" w:noHBand="0" w:noVBand="0"/>
      </w:tblPr>
      <w:tblGrid>
        <w:gridCol w:w="637"/>
        <w:gridCol w:w="1843"/>
        <w:gridCol w:w="6017"/>
      </w:tblGrid>
      <w:tr w:rsidR="00DA0E45" w14:paraId="1FF48DDF" w14:textId="77777777" w:rsidTr="00342BA4">
        <w:tblPrEx>
          <w:tblCellMar>
            <w:top w:w="0" w:type="dxa"/>
            <w:bottom w:w="0" w:type="dxa"/>
          </w:tblCellMar>
        </w:tblPrEx>
        <w:tc>
          <w:tcPr>
            <w:tcW w:w="637" w:type="dxa"/>
          </w:tcPr>
          <w:p w14:paraId="62D4C236" w14:textId="77777777" w:rsidR="00DA0E45" w:rsidRDefault="00DA0E45" w:rsidP="00342BA4">
            <w:pPr>
              <w:overflowPunct w:val="0"/>
              <w:autoSpaceDE w:val="0"/>
              <w:autoSpaceDN w:val="0"/>
              <w:adjustRightInd w:val="0"/>
              <w:jc w:val="center"/>
            </w:pPr>
            <w:r>
              <w:t xml:space="preserve">  1.</w:t>
            </w:r>
          </w:p>
        </w:tc>
        <w:tc>
          <w:tcPr>
            <w:tcW w:w="1843" w:type="dxa"/>
          </w:tcPr>
          <w:p w14:paraId="172B75A6" w14:textId="77777777" w:rsidR="00DA0E45" w:rsidRDefault="00DA0E45" w:rsidP="00342BA4">
            <w:pPr>
              <w:overflowPunct w:val="0"/>
              <w:autoSpaceDE w:val="0"/>
              <w:autoSpaceDN w:val="0"/>
              <w:adjustRightInd w:val="0"/>
              <w:jc w:val="both"/>
            </w:pPr>
            <w:r>
              <w:t>PN-B-06714-12</w:t>
            </w:r>
          </w:p>
        </w:tc>
        <w:tc>
          <w:tcPr>
            <w:tcW w:w="6017" w:type="dxa"/>
          </w:tcPr>
          <w:p w14:paraId="794D2796" w14:textId="77777777" w:rsidR="00DA0E45" w:rsidRDefault="00DA0E45" w:rsidP="00342BA4">
            <w:pPr>
              <w:overflowPunct w:val="0"/>
              <w:autoSpaceDE w:val="0"/>
              <w:autoSpaceDN w:val="0"/>
              <w:adjustRightInd w:val="0"/>
              <w:jc w:val="both"/>
            </w:pPr>
            <w:r>
              <w:t>Kruszywa mineralne. Badania. Oznaczanie zawartości zanieczyszczeń obcych</w:t>
            </w:r>
          </w:p>
        </w:tc>
      </w:tr>
      <w:tr w:rsidR="00DA0E45" w14:paraId="2C7AFBE2" w14:textId="77777777" w:rsidTr="00342BA4">
        <w:tblPrEx>
          <w:tblCellMar>
            <w:top w:w="0" w:type="dxa"/>
            <w:bottom w:w="0" w:type="dxa"/>
          </w:tblCellMar>
        </w:tblPrEx>
        <w:tc>
          <w:tcPr>
            <w:tcW w:w="637" w:type="dxa"/>
          </w:tcPr>
          <w:p w14:paraId="03F3588A" w14:textId="77777777" w:rsidR="00DA0E45" w:rsidRDefault="00DA0E45" w:rsidP="00342BA4">
            <w:pPr>
              <w:overflowPunct w:val="0"/>
              <w:autoSpaceDE w:val="0"/>
              <w:autoSpaceDN w:val="0"/>
              <w:adjustRightInd w:val="0"/>
              <w:jc w:val="center"/>
            </w:pPr>
            <w:r>
              <w:t xml:space="preserve">  2.</w:t>
            </w:r>
          </w:p>
        </w:tc>
        <w:tc>
          <w:tcPr>
            <w:tcW w:w="1843" w:type="dxa"/>
          </w:tcPr>
          <w:p w14:paraId="29986646" w14:textId="77777777" w:rsidR="00DA0E45" w:rsidRDefault="00DA0E45" w:rsidP="00342BA4">
            <w:pPr>
              <w:overflowPunct w:val="0"/>
              <w:autoSpaceDE w:val="0"/>
              <w:autoSpaceDN w:val="0"/>
              <w:adjustRightInd w:val="0"/>
              <w:jc w:val="both"/>
            </w:pPr>
            <w:r>
              <w:t>PN-B-06714-15</w:t>
            </w:r>
          </w:p>
        </w:tc>
        <w:tc>
          <w:tcPr>
            <w:tcW w:w="6017" w:type="dxa"/>
          </w:tcPr>
          <w:p w14:paraId="5698517D" w14:textId="77777777" w:rsidR="00DA0E45" w:rsidRDefault="00DA0E45" w:rsidP="00342BA4">
            <w:pPr>
              <w:overflowPunct w:val="0"/>
              <w:autoSpaceDE w:val="0"/>
              <w:autoSpaceDN w:val="0"/>
              <w:adjustRightInd w:val="0"/>
              <w:jc w:val="both"/>
            </w:pPr>
            <w:r>
              <w:t>Kruszywa mineralne. Badania. Oznaczanie składu ziarnowego</w:t>
            </w:r>
          </w:p>
        </w:tc>
      </w:tr>
      <w:tr w:rsidR="00DA0E45" w14:paraId="23416296" w14:textId="77777777" w:rsidTr="00342BA4">
        <w:tblPrEx>
          <w:tblCellMar>
            <w:top w:w="0" w:type="dxa"/>
            <w:bottom w:w="0" w:type="dxa"/>
          </w:tblCellMar>
        </w:tblPrEx>
        <w:tc>
          <w:tcPr>
            <w:tcW w:w="637" w:type="dxa"/>
          </w:tcPr>
          <w:p w14:paraId="051DCDEB" w14:textId="77777777" w:rsidR="00DA0E45" w:rsidRDefault="00DA0E45" w:rsidP="00342BA4">
            <w:pPr>
              <w:overflowPunct w:val="0"/>
              <w:autoSpaceDE w:val="0"/>
              <w:autoSpaceDN w:val="0"/>
              <w:adjustRightInd w:val="0"/>
              <w:jc w:val="center"/>
            </w:pPr>
            <w:r>
              <w:t xml:space="preserve">  3.</w:t>
            </w:r>
          </w:p>
        </w:tc>
        <w:tc>
          <w:tcPr>
            <w:tcW w:w="1843" w:type="dxa"/>
          </w:tcPr>
          <w:p w14:paraId="6371686A" w14:textId="77777777" w:rsidR="00DA0E45" w:rsidRDefault="00DA0E45" w:rsidP="00342BA4">
            <w:pPr>
              <w:overflowPunct w:val="0"/>
              <w:autoSpaceDE w:val="0"/>
              <w:autoSpaceDN w:val="0"/>
              <w:adjustRightInd w:val="0"/>
              <w:jc w:val="both"/>
            </w:pPr>
            <w:r>
              <w:t>PN-B-06714-16</w:t>
            </w:r>
          </w:p>
        </w:tc>
        <w:tc>
          <w:tcPr>
            <w:tcW w:w="6017" w:type="dxa"/>
          </w:tcPr>
          <w:p w14:paraId="10BFA59E" w14:textId="77777777" w:rsidR="00DA0E45" w:rsidRDefault="00DA0E45" w:rsidP="00342BA4">
            <w:pPr>
              <w:overflowPunct w:val="0"/>
              <w:autoSpaceDE w:val="0"/>
              <w:autoSpaceDN w:val="0"/>
              <w:adjustRightInd w:val="0"/>
              <w:jc w:val="both"/>
            </w:pPr>
            <w:r>
              <w:t xml:space="preserve">Kruszywa mineralne. Badania. Oznaczanie kształtu </w:t>
            </w:r>
            <w:proofErr w:type="spellStart"/>
            <w:r>
              <w:t>ziarn</w:t>
            </w:r>
            <w:proofErr w:type="spellEnd"/>
          </w:p>
        </w:tc>
      </w:tr>
      <w:tr w:rsidR="00DA0E45" w14:paraId="22B4E1DC" w14:textId="77777777" w:rsidTr="00342BA4">
        <w:tblPrEx>
          <w:tblCellMar>
            <w:top w:w="0" w:type="dxa"/>
            <w:bottom w:w="0" w:type="dxa"/>
          </w:tblCellMar>
        </w:tblPrEx>
        <w:tc>
          <w:tcPr>
            <w:tcW w:w="637" w:type="dxa"/>
          </w:tcPr>
          <w:p w14:paraId="1E6FD336" w14:textId="77777777" w:rsidR="00DA0E45" w:rsidRDefault="00DA0E45" w:rsidP="00342BA4">
            <w:pPr>
              <w:overflowPunct w:val="0"/>
              <w:autoSpaceDE w:val="0"/>
              <w:autoSpaceDN w:val="0"/>
              <w:adjustRightInd w:val="0"/>
              <w:jc w:val="center"/>
            </w:pPr>
            <w:r>
              <w:t xml:space="preserve">  4.</w:t>
            </w:r>
          </w:p>
        </w:tc>
        <w:tc>
          <w:tcPr>
            <w:tcW w:w="1843" w:type="dxa"/>
          </w:tcPr>
          <w:p w14:paraId="4306735E" w14:textId="77777777" w:rsidR="00DA0E45" w:rsidRDefault="00DA0E45" w:rsidP="00342BA4">
            <w:pPr>
              <w:overflowPunct w:val="0"/>
              <w:autoSpaceDE w:val="0"/>
              <w:autoSpaceDN w:val="0"/>
              <w:adjustRightInd w:val="0"/>
              <w:jc w:val="both"/>
            </w:pPr>
            <w:r>
              <w:t>PN-B-06714-18</w:t>
            </w:r>
          </w:p>
        </w:tc>
        <w:tc>
          <w:tcPr>
            <w:tcW w:w="6017" w:type="dxa"/>
          </w:tcPr>
          <w:p w14:paraId="6984B231" w14:textId="77777777" w:rsidR="00DA0E45" w:rsidRDefault="00DA0E45" w:rsidP="00342BA4">
            <w:pPr>
              <w:overflowPunct w:val="0"/>
              <w:autoSpaceDE w:val="0"/>
              <w:autoSpaceDN w:val="0"/>
              <w:adjustRightInd w:val="0"/>
              <w:jc w:val="both"/>
            </w:pPr>
            <w:r>
              <w:t>Kruszywa mineralne. Badania. Oznaczanie nasiąkliwości</w:t>
            </w:r>
          </w:p>
        </w:tc>
      </w:tr>
      <w:tr w:rsidR="00DA0E45" w14:paraId="07006F4B" w14:textId="77777777" w:rsidTr="00342BA4">
        <w:tblPrEx>
          <w:tblCellMar>
            <w:top w:w="0" w:type="dxa"/>
            <w:bottom w:w="0" w:type="dxa"/>
          </w:tblCellMar>
        </w:tblPrEx>
        <w:tc>
          <w:tcPr>
            <w:tcW w:w="637" w:type="dxa"/>
          </w:tcPr>
          <w:p w14:paraId="10498985" w14:textId="77777777" w:rsidR="00DA0E45" w:rsidRDefault="00DA0E45" w:rsidP="00342BA4">
            <w:pPr>
              <w:overflowPunct w:val="0"/>
              <w:autoSpaceDE w:val="0"/>
              <w:autoSpaceDN w:val="0"/>
              <w:adjustRightInd w:val="0"/>
              <w:jc w:val="center"/>
            </w:pPr>
            <w:r>
              <w:t xml:space="preserve">  5.</w:t>
            </w:r>
          </w:p>
        </w:tc>
        <w:tc>
          <w:tcPr>
            <w:tcW w:w="1843" w:type="dxa"/>
          </w:tcPr>
          <w:p w14:paraId="702D6990" w14:textId="77777777" w:rsidR="00DA0E45" w:rsidRDefault="00DA0E45" w:rsidP="00342BA4">
            <w:pPr>
              <w:overflowPunct w:val="0"/>
              <w:autoSpaceDE w:val="0"/>
              <w:autoSpaceDN w:val="0"/>
              <w:adjustRightInd w:val="0"/>
              <w:jc w:val="both"/>
            </w:pPr>
            <w:r>
              <w:t>PN-B-06714-19</w:t>
            </w:r>
          </w:p>
        </w:tc>
        <w:tc>
          <w:tcPr>
            <w:tcW w:w="6017" w:type="dxa"/>
          </w:tcPr>
          <w:p w14:paraId="1937A6A3" w14:textId="77777777" w:rsidR="00DA0E45" w:rsidRDefault="00DA0E45" w:rsidP="00342BA4">
            <w:pPr>
              <w:overflowPunct w:val="0"/>
              <w:autoSpaceDE w:val="0"/>
              <w:autoSpaceDN w:val="0"/>
              <w:adjustRightInd w:val="0"/>
              <w:jc w:val="both"/>
            </w:pPr>
            <w:r>
              <w:t>Kruszywa mineralne. Badania. Oznaczanie mrozoodporności metodą bezpośrednią</w:t>
            </w:r>
          </w:p>
        </w:tc>
      </w:tr>
      <w:tr w:rsidR="00DA0E45" w14:paraId="7FDE9F26" w14:textId="77777777" w:rsidTr="00342BA4">
        <w:tblPrEx>
          <w:tblCellMar>
            <w:top w:w="0" w:type="dxa"/>
            <w:bottom w:w="0" w:type="dxa"/>
          </w:tblCellMar>
        </w:tblPrEx>
        <w:tc>
          <w:tcPr>
            <w:tcW w:w="637" w:type="dxa"/>
          </w:tcPr>
          <w:p w14:paraId="36BA4CF0" w14:textId="77777777" w:rsidR="00DA0E45" w:rsidRDefault="00DA0E45" w:rsidP="00342BA4">
            <w:pPr>
              <w:overflowPunct w:val="0"/>
              <w:autoSpaceDE w:val="0"/>
              <w:autoSpaceDN w:val="0"/>
              <w:adjustRightInd w:val="0"/>
              <w:jc w:val="center"/>
            </w:pPr>
            <w:r>
              <w:t xml:space="preserve">  6.</w:t>
            </w:r>
          </w:p>
        </w:tc>
        <w:tc>
          <w:tcPr>
            <w:tcW w:w="1843" w:type="dxa"/>
          </w:tcPr>
          <w:p w14:paraId="242671F9" w14:textId="77777777" w:rsidR="00DA0E45" w:rsidRDefault="00DA0E45" w:rsidP="00342BA4">
            <w:pPr>
              <w:overflowPunct w:val="0"/>
              <w:autoSpaceDE w:val="0"/>
              <w:autoSpaceDN w:val="0"/>
              <w:adjustRightInd w:val="0"/>
              <w:jc w:val="both"/>
            </w:pPr>
            <w:r>
              <w:t>PN-B-06714-26</w:t>
            </w:r>
          </w:p>
        </w:tc>
        <w:tc>
          <w:tcPr>
            <w:tcW w:w="6017" w:type="dxa"/>
          </w:tcPr>
          <w:p w14:paraId="71EF2EAD" w14:textId="77777777" w:rsidR="00DA0E45" w:rsidRDefault="00DA0E45" w:rsidP="00342BA4">
            <w:pPr>
              <w:overflowPunct w:val="0"/>
              <w:autoSpaceDE w:val="0"/>
              <w:autoSpaceDN w:val="0"/>
              <w:adjustRightInd w:val="0"/>
              <w:jc w:val="both"/>
            </w:pPr>
            <w:r>
              <w:t>Kruszywa mineralne. Badania. Oznaczanie zawartości zanieczyszczeń organicznych</w:t>
            </w:r>
          </w:p>
        </w:tc>
      </w:tr>
      <w:tr w:rsidR="00DA0E45" w14:paraId="51B8A237" w14:textId="77777777" w:rsidTr="00342BA4">
        <w:tblPrEx>
          <w:tblCellMar>
            <w:top w:w="0" w:type="dxa"/>
            <w:bottom w:w="0" w:type="dxa"/>
          </w:tblCellMar>
        </w:tblPrEx>
        <w:tc>
          <w:tcPr>
            <w:tcW w:w="637" w:type="dxa"/>
          </w:tcPr>
          <w:p w14:paraId="1A8C8232" w14:textId="77777777" w:rsidR="00DA0E45" w:rsidRDefault="00DA0E45" w:rsidP="00342BA4">
            <w:pPr>
              <w:overflowPunct w:val="0"/>
              <w:autoSpaceDE w:val="0"/>
              <w:autoSpaceDN w:val="0"/>
              <w:adjustRightInd w:val="0"/>
              <w:jc w:val="center"/>
            </w:pPr>
            <w:r>
              <w:t xml:space="preserve">  7.</w:t>
            </w:r>
          </w:p>
        </w:tc>
        <w:tc>
          <w:tcPr>
            <w:tcW w:w="1843" w:type="dxa"/>
          </w:tcPr>
          <w:p w14:paraId="1B6B88B7" w14:textId="77777777" w:rsidR="00DA0E45" w:rsidRDefault="00DA0E45" w:rsidP="00342BA4">
            <w:pPr>
              <w:overflowPunct w:val="0"/>
              <w:autoSpaceDE w:val="0"/>
              <w:autoSpaceDN w:val="0"/>
              <w:adjustRightInd w:val="0"/>
              <w:jc w:val="both"/>
            </w:pPr>
            <w:r>
              <w:t>PN-B-06714-42</w:t>
            </w:r>
          </w:p>
        </w:tc>
        <w:tc>
          <w:tcPr>
            <w:tcW w:w="6017" w:type="dxa"/>
          </w:tcPr>
          <w:p w14:paraId="07689213" w14:textId="77777777" w:rsidR="00DA0E45" w:rsidRDefault="00DA0E45" w:rsidP="00342BA4">
            <w:pPr>
              <w:overflowPunct w:val="0"/>
              <w:autoSpaceDE w:val="0"/>
              <w:autoSpaceDN w:val="0"/>
              <w:adjustRightInd w:val="0"/>
              <w:jc w:val="both"/>
            </w:pPr>
            <w:r>
              <w:t>Kruszywa mineralne. Badania. Oznaczanie ścieralności w bębnie Los Angeles</w:t>
            </w:r>
          </w:p>
        </w:tc>
      </w:tr>
      <w:tr w:rsidR="00DA0E45" w14:paraId="486D0757" w14:textId="77777777" w:rsidTr="00342BA4">
        <w:tblPrEx>
          <w:tblCellMar>
            <w:top w:w="0" w:type="dxa"/>
            <w:bottom w:w="0" w:type="dxa"/>
          </w:tblCellMar>
        </w:tblPrEx>
        <w:tc>
          <w:tcPr>
            <w:tcW w:w="637" w:type="dxa"/>
          </w:tcPr>
          <w:p w14:paraId="3334047A" w14:textId="77777777" w:rsidR="00DA0E45" w:rsidRDefault="00DA0E45" w:rsidP="00342BA4">
            <w:pPr>
              <w:overflowPunct w:val="0"/>
              <w:autoSpaceDE w:val="0"/>
              <w:autoSpaceDN w:val="0"/>
              <w:adjustRightInd w:val="0"/>
              <w:jc w:val="center"/>
            </w:pPr>
            <w:r>
              <w:t xml:space="preserve">  8.</w:t>
            </w:r>
          </w:p>
        </w:tc>
        <w:tc>
          <w:tcPr>
            <w:tcW w:w="1843" w:type="dxa"/>
          </w:tcPr>
          <w:p w14:paraId="6D9C96C2" w14:textId="77777777" w:rsidR="00DA0E45" w:rsidRDefault="00DA0E45" w:rsidP="00342BA4">
            <w:pPr>
              <w:overflowPunct w:val="0"/>
              <w:autoSpaceDE w:val="0"/>
              <w:autoSpaceDN w:val="0"/>
              <w:adjustRightInd w:val="0"/>
              <w:jc w:val="both"/>
            </w:pPr>
            <w:r>
              <w:t>PN-B-11112</w:t>
            </w:r>
          </w:p>
        </w:tc>
        <w:tc>
          <w:tcPr>
            <w:tcW w:w="6017" w:type="dxa"/>
          </w:tcPr>
          <w:p w14:paraId="2B507389" w14:textId="77777777" w:rsidR="00DA0E45" w:rsidRDefault="00DA0E45" w:rsidP="00342BA4">
            <w:pPr>
              <w:overflowPunct w:val="0"/>
              <w:autoSpaceDE w:val="0"/>
              <w:autoSpaceDN w:val="0"/>
              <w:adjustRightInd w:val="0"/>
              <w:jc w:val="both"/>
            </w:pPr>
            <w:r>
              <w:t>Kruszywo mineralne. Kruszywo łamane do nawierzchni drogowych</w:t>
            </w:r>
          </w:p>
        </w:tc>
      </w:tr>
      <w:tr w:rsidR="00DA0E45" w14:paraId="2F53B239" w14:textId="77777777" w:rsidTr="00342BA4">
        <w:tblPrEx>
          <w:tblCellMar>
            <w:top w:w="0" w:type="dxa"/>
            <w:bottom w:w="0" w:type="dxa"/>
          </w:tblCellMar>
        </w:tblPrEx>
        <w:tc>
          <w:tcPr>
            <w:tcW w:w="637" w:type="dxa"/>
          </w:tcPr>
          <w:p w14:paraId="19BF73C4" w14:textId="77777777" w:rsidR="00DA0E45" w:rsidRDefault="00DA0E45" w:rsidP="00342BA4">
            <w:pPr>
              <w:overflowPunct w:val="0"/>
              <w:autoSpaceDE w:val="0"/>
              <w:autoSpaceDN w:val="0"/>
              <w:adjustRightInd w:val="0"/>
              <w:jc w:val="center"/>
            </w:pPr>
            <w:r>
              <w:t xml:space="preserve">  9.</w:t>
            </w:r>
          </w:p>
        </w:tc>
        <w:tc>
          <w:tcPr>
            <w:tcW w:w="1843" w:type="dxa"/>
          </w:tcPr>
          <w:p w14:paraId="60C8F3E7" w14:textId="77777777" w:rsidR="00DA0E45" w:rsidRDefault="00DA0E45" w:rsidP="00342BA4">
            <w:pPr>
              <w:overflowPunct w:val="0"/>
              <w:autoSpaceDE w:val="0"/>
              <w:autoSpaceDN w:val="0"/>
              <w:adjustRightInd w:val="0"/>
              <w:jc w:val="both"/>
            </w:pPr>
            <w:r>
              <w:t>PN-S-96023</w:t>
            </w:r>
          </w:p>
        </w:tc>
        <w:tc>
          <w:tcPr>
            <w:tcW w:w="6017" w:type="dxa"/>
          </w:tcPr>
          <w:p w14:paraId="1841CC9F" w14:textId="77777777" w:rsidR="00DA0E45" w:rsidRDefault="00DA0E45" w:rsidP="00342BA4">
            <w:pPr>
              <w:overflowPunct w:val="0"/>
              <w:autoSpaceDE w:val="0"/>
              <w:autoSpaceDN w:val="0"/>
              <w:adjustRightInd w:val="0"/>
              <w:jc w:val="both"/>
            </w:pPr>
            <w:r>
              <w:t>Konstrukcje drogowe. Podbudowa i nawierzchnia z tłucznia kamiennego</w:t>
            </w:r>
          </w:p>
        </w:tc>
      </w:tr>
      <w:tr w:rsidR="00DA0E45" w14:paraId="5612604C" w14:textId="77777777" w:rsidTr="00342BA4">
        <w:tblPrEx>
          <w:tblCellMar>
            <w:top w:w="0" w:type="dxa"/>
            <w:bottom w:w="0" w:type="dxa"/>
          </w:tblCellMar>
        </w:tblPrEx>
        <w:tc>
          <w:tcPr>
            <w:tcW w:w="637" w:type="dxa"/>
          </w:tcPr>
          <w:p w14:paraId="38E912F8" w14:textId="77777777" w:rsidR="00DA0E45" w:rsidRDefault="00DA0E45" w:rsidP="00342BA4">
            <w:pPr>
              <w:overflowPunct w:val="0"/>
              <w:autoSpaceDE w:val="0"/>
              <w:autoSpaceDN w:val="0"/>
              <w:adjustRightInd w:val="0"/>
              <w:jc w:val="center"/>
            </w:pPr>
            <w:r>
              <w:t>10.</w:t>
            </w:r>
          </w:p>
        </w:tc>
        <w:tc>
          <w:tcPr>
            <w:tcW w:w="1843" w:type="dxa"/>
          </w:tcPr>
          <w:p w14:paraId="60897AE6" w14:textId="77777777" w:rsidR="00DA0E45" w:rsidRDefault="00DA0E45" w:rsidP="00342BA4">
            <w:pPr>
              <w:overflowPunct w:val="0"/>
              <w:autoSpaceDE w:val="0"/>
              <w:autoSpaceDN w:val="0"/>
              <w:adjustRightInd w:val="0"/>
              <w:jc w:val="both"/>
            </w:pPr>
            <w:r>
              <w:t>BN-64/8931-02</w:t>
            </w:r>
          </w:p>
        </w:tc>
        <w:tc>
          <w:tcPr>
            <w:tcW w:w="6017" w:type="dxa"/>
          </w:tcPr>
          <w:p w14:paraId="153CBC59" w14:textId="77777777" w:rsidR="00DA0E45" w:rsidRDefault="00DA0E45" w:rsidP="00342BA4">
            <w:pPr>
              <w:overflowPunct w:val="0"/>
              <w:autoSpaceDE w:val="0"/>
              <w:autoSpaceDN w:val="0"/>
              <w:adjustRightInd w:val="0"/>
              <w:jc w:val="both"/>
            </w:pPr>
            <w:r>
              <w:t>Drogi samochodowe. Oznaczanie modułu odkształcenia nawierzchni podatnych i podłoża przez obciążenie płytą</w:t>
            </w:r>
          </w:p>
        </w:tc>
      </w:tr>
      <w:tr w:rsidR="00DA0E45" w14:paraId="6F286D5A" w14:textId="77777777" w:rsidTr="00342BA4">
        <w:tblPrEx>
          <w:tblCellMar>
            <w:top w:w="0" w:type="dxa"/>
            <w:bottom w:w="0" w:type="dxa"/>
          </w:tblCellMar>
        </w:tblPrEx>
        <w:tc>
          <w:tcPr>
            <w:tcW w:w="637" w:type="dxa"/>
          </w:tcPr>
          <w:p w14:paraId="1A0525C5" w14:textId="77777777" w:rsidR="00DA0E45" w:rsidRDefault="00DA0E45" w:rsidP="00342BA4">
            <w:pPr>
              <w:overflowPunct w:val="0"/>
              <w:autoSpaceDE w:val="0"/>
              <w:autoSpaceDN w:val="0"/>
              <w:adjustRightInd w:val="0"/>
              <w:jc w:val="center"/>
            </w:pPr>
            <w:r>
              <w:t>11.</w:t>
            </w:r>
          </w:p>
        </w:tc>
        <w:tc>
          <w:tcPr>
            <w:tcW w:w="1843" w:type="dxa"/>
          </w:tcPr>
          <w:p w14:paraId="5286A818" w14:textId="77777777" w:rsidR="00DA0E45" w:rsidRDefault="00DA0E45" w:rsidP="00342BA4">
            <w:pPr>
              <w:overflowPunct w:val="0"/>
              <w:autoSpaceDE w:val="0"/>
              <w:autoSpaceDN w:val="0"/>
              <w:adjustRightInd w:val="0"/>
              <w:jc w:val="both"/>
            </w:pPr>
            <w:r>
              <w:t>BN-68/8931-04</w:t>
            </w:r>
          </w:p>
        </w:tc>
        <w:tc>
          <w:tcPr>
            <w:tcW w:w="6017" w:type="dxa"/>
          </w:tcPr>
          <w:p w14:paraId="12EB7D09" w14:textId="77777777" w:rsidR="00DA0E45" w:rsidRDefault="00DA0E45" w:rsidP="00342BA4">
            <w:pPr>
              <w:overflowPunct w:val="0"/>
              <w:autoSpaceDE w:val="0"/>
              <w:autoSpaceDN w:val="0"/>
              <w:adjustRightInd w:val="0"/>
              <w:jc w:val="both"/>
            </w:pPr>
            <w:r>
              <w:t xml:space="preserve">Drogi samochodowe. Pomiar równości nawierzchni </w:t>
            </w:r>
            <w:proofErr w:type="spellStart"/>
            <w:r>
              <w:t>planografem</w:t>
            </w:r>
            <w:proofErr w:type="spellEnd"/>
            <w:r>
              <w:t xml:space="preserve"> i łatą.</w:t>
            </w:r>
          </w:p>
        </w:tc>
      </w:tr>
    </w:tbl>
    <w:p w14:paraId="662DFFAE" w14:textId="77777777" w:rsidR="003D231C" w:rsidRDefault="003D231C"/>
    <w:sectPr w:rsidR="003D2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8008A" w14:textId="77777777" w:rsidR="00DA0E45" w:rsidRPr="00BC4A55" w:rsidRDefault="00DA0E45" w:rsidP="00444F62">
    <w:pPr>
      <w:pStyle w:val="Nagwek"/>
      <w:rPr>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6970" w14:textId="77777777" w:rsidR="00DA0E45" w:rsidRPr="0041393B" w:rsidRDefault="00DA0E45" w:rsidP="00444F6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45"/>
    <w:rsid w:val="003D231C"/>
    <w:rsid w:val="00625364"/>
    <w:rsid w:val="006E0E4A"/>
    <w:rsid w:val="00DA0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120946"/>
  <w15:chartTrackingRefBased/>
  <w15:docId w15:val="{80D56AB9-3D40-429C-AB56-B8B409E3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E45"/>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DA0E4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DA0E4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0E45"/>
    <w:rPr>
      <w:rFonts w:ascii="Arial" w:eastAsia="Times New Roman" w:hAnsi="Arial" w:cs="Arial"/>
      <w:b/>
      <w:bCs/>
      <w:kern w:val="32"/>
      <w:sz w:val="32"/>
      <w:szCs w:val="32"/>
      <w:lang w:eastAsia="pl-PL"/>
      <w14:ligatures w14:val="none"/>
    </w:rPr>
  </w:style>
  <w:style w:type="character" w:customStyle="1" w:styleId="Nagwek2Znak">
    <w:name w:val="Nagłówek 2 Znak"/>
    <w:basedOn w:val="Domylnaczcionkaakapitu"/>
    <w:link w:val="Nagwek2"/>
    <w:rsid w:val="00DA0E45"/>
    <w:rPr>
      <w:rFonts w:ascii="Arial" w:eastAsia="Times New Roman" w:hAnsi="Arial" w:cs="Arial"/>
      <w:b/>
      <w:bCs/>
      <w:i/>
      <w:iCs/>
      <w:kern w:val="0"/>
      <w:sz w:val="28"/>
      <w:szCs w:val="28"/>
      <w:lang w:eastAsia="pl-PL"/>
      <w14:ligatures w14:val="none"/>
    </w:rPr>
  </w:style>
  <w:style w:type="paragraph" w:styleId="Podtytu">
    <w:name w:val="Subtitle"/>
    <w:basedOn w:val="Normalny"/>
    <w:link w:val="PodtytuZnak"/>
    <w:qFormat/>
    <w:rsid w:val="00DA0E45"/>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DA0E45"/>
    <w:rPr>
      <w:rFonts w:ascii="Arial" w:eastAsia="Times New Roman" w:hAnsi="Arial" w:cs="Arial"/>
      <w:kern w:val="0"/>
      <w:sz w:val="24"/>
      <w:szCs w:val="24"/>
      <w:lang w:eastAsia="pl-PL"/>
      <w14:ligatures w14:val="none"/>
    </w:rPr>
  </w:style>
  <w:style w:type="paragraph" w:styleId="Nagwek">
    <w:name w:val="header"/>
    <w:basedOn w:val="Normalny"/>
    <w:link w:val="NagwekZnak"/>
    <w:rsid w:val="00DA0E45"/>
    <w:pPr>
      <w:tabs>
        <w:tab w:val="center" w:pos="4536"/>
        <w:tab w:val="right" w:pos="9072"/>
      </w:tabs>
    </w:pPr>
  </w:style>
  <w:style w:type="character" w:customStyle="1" w:styleId="NagwekZnak">
    <w:name w:val="Nagłówek Znak"/>
    <w:basedOn w:val="Domylnaczcionkaakapitu"/>
    <w:link w:val="Nagwek"/>
    <w:rsid w:val="00DA0E45"/>
    <w:rPr>
      <w:rFonts w:ascii="Times New Roman" w:eastAsia="Times New Roman" w:hAnsi="Times New Roman" w:cs="Times New Roman"/>
      <w:kern w:val="0"/>
      <w:sz w:val="20"/>
      <w:szCs w:val="20"/>
      <w:lang w:eastAsia="pl-PL"/>
      <w14:ligatures w14:val="none"/>
    </w:rPr>
  </w:style>
  <w:style w:type="paragraph" w:customStyle="1" w:styleId="Standardowytekst">
    <w:name w:val="Standardowy.tekst"/>
    <w:rsid w:val="00DA0E45"/>
    <w:pPr>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eastAsia="pl-PL"/>
      <w14:ligatures w14:val="none"/>
    </w:rPr>
  </w:style>
  <w:style w:type="paragraph" w:customStyle="1" w:styleId="tekstost">
    <w:name w:val="tekst ost"/>
    <w:basedOn w:val="Normalny"/>
    <w:rsid w:val="00DA0E45"/>
    <w:pPr>
      <w:overflowPunct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image" Target="media/image4.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4495</Words>
  <Characters>26976</Characters>
  <Application>Microsoft Office Word</Application>
  <DocSecurity>0</DocSecurity>
  <Lines>224</Lines>
  <Paragraphs>62</Paragraphs>
  <ScaleCrop>false</ScaleCrop>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Idźkiewicz</dc:creator>
  <cp:keywords/>
  <dc:description/>
  <cp:lastModifiedBy>Martyna Idźkiewicz</cp:lastModifiedBy>
  <cp:revision>1</cp:revision>
  <cp:lastPrinted>2024-06-03T10:10:00Z</cp:lastPrinted>
  <dcterms:created xsi:type="dcterms:W3CDTF">2024-06-03T10:08:00Z</dcterms:created>
  <dcterms:modified xsi:type="dcterms:W3CDTF">2024-06-03T10:10:00Z</dcterms:modified>
</cp:coreProperties>
</file>